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FB162" w14:textId="77777777" w:rsidR="00E650CE" w:rsidRDefault="004938CB">
      <w:pPr>
        <w:jc w:val="center"/>
        <w:rPr>
          <w:rFonts w:hint="eastAsia"/>
          <w:b/>
          <w:sz w:val="36"/>
        </w:rPr>
      </w:pPr>
      <w:r>
        <w:rPr>
          <w:rFonts w:hint="eastAsia"/>
          <w:b/>
          <w:sz w:val="36"/>
        </w:rPr>
        <w:t xml:space="preserve">《核电厂一回路冷却剂 </w:t>
      </w:r>
      <w:r>
        <w:rPr>
          <w:b/>
          <w:sz w:val="36"/>
        </w:rPr>
        <w:t>硼酸的测定</w:t>
      </w:r>
      <w:r>
        <w:rPr>
          <w:rFonts w:hint="eastAsia"/>
          <w:b/>
          <w:sz w:val="36"/>
        </w:rPr>
        <w:t xml:space="preserve"> </w:t>
      </w:r>
      <w:r>
        <w:rPr>
          <w:b/>
          <w:sz w:val="36"/>
        </w:rPr>
        <w:t>滴定法</w:t>
      </w:r>
      <w:r>
        <w:rPr>
          <w:rFonts w:hint="eastAsia"/>
          <w:b/>
          <w:sz w:val="36"/>
        </w:rPr>
        <w:t>》</w:t>
      </w:r>
    </w:p>
    <w:p w14:paraId="4EC4D671" w14:textId="77777777" w:rsidR="00E650CE" w:rsidRDefault="004938CB">
      <w:pPr>
        <w:jc w:val="center"/>
        <w:rPr>
          <w:rFonts w:hint="eastAsia"/>
          <w:b/>
          <w:sz w:val="36"/>
        </w:rPr>
      </w:pPr>
      <w:r>
        <w:rPr>
          <w:rFonts w:hint="eastAsia"/>
          <w:b/>
          <w:sz w:val="36"/>
        </w:rPr>
        <w:t>编制说明</w:t>
      </w:r>
    </w:p>
    <w:p w14:paraId="70637EB8" w14:textId="77777777" w:rsidR="00E650CE" w:rsidRDefault="004938CB">
      <w:pPr>
        <w:jc w:val="center"/>
        <w:rPr>
          <w:rFonts w:hint="eastAsia"/>
          <w:b/>
          <w:sz w:val="36"/>
        </w:rPr>
      </w:pPr>
      <w:r>
        <w:rPr>
          <w:rFonts w:hint="eastAsia"/>
          <w:b/>
          <w:sz w:val="36"/>
        </w:rPr>
        <w:t>（征求意见稿）</w:t>
      </w:r>
    </w:p>
    <w:p w14:paraId="34015899" w14:textId="77777777" w:rsidR="00E650CE" w:rsidRDefault="004938CB">
      <w:pPr>
        <w:outlineLvl w:val="0"/>
        <w:rPr>
          <w:rFonts w:hint="eastAsia"/>
          <w:b/>
          <w:sz w:val="28"/>
          <w:szCs w:val="28"/>
        </w:rPr>
      </w:pPr>
      <w:r>
        <w:rPr>
          <w:rFonts w:hint="eastAsia"/>
          <w:b/>
          <w:sz w:val="28"/>
          <w:szCs w:val="28"/>
        </w:rPr>
        <w:t>一、工作简况</w:t>
      </w:r>
    </w:p>
    <w:p w14:paraId="32B0B3E2" w14:textId="77777777" w:rsidR="00E650CE" w:rsidRDefault="004938CB">
      <w:pPr>
        <w:rPr>
          <w:rFonts w:hint="eastAsia"/>
          <w:b/>
        </w:rPr>
      </w:pPr>
      <w:r>
        <w:rPr>
          <w:rFonts w:hint="eastAsia"/>
          <w:b/>
        </w:rPr>
        <w:t>1、任务来源</w:t>
      </w:r>
    </w:p>
    <w:p w14:paraId="3FF1B7D3" w14:textId="77777777" w:rsidR="00E650CE" w:rsidRDefault="004938CB">
      <w:pPr>
        <w:pStyle w:val="11"/>
        <w:autoSpaceDE w:val="0"/>
        <w:autoSpaceDN w:val="0"/>
        <w:spacing w:line="360" w:lineRule="auto"/>
        <w:ind w:firstLine="480"/>
        <w:textAlignment w:val="center"/>
        <w:rPr>
          <w:rFonts w:hAnsi="宋体" w:hint="eastAsia"/>
          <w:sz w:val="24"/>
        </w:rPr>
      </w:pPr>
      <w:r>
        <w:rPr>
          <w:rFonts w:ascii="宋体" w:hAnsi="宋体" w:hint="eastAsia"/>
          <w:sz w:val="24"/>
        </w:rPr>
        <w:t>本标准是</w:t>
      </w:r>
      <w:r>
        <w:rPr>
          <w:rFonts w:hint="eastAsia"/>
        </w:rPr>
        <w:t>根据</w:t>
      </w:r>
      <w:r>
        <w:rPr>
          <w:rFonts w:hAnsi="宋体" w:hint="eastAsia"/>
          <w:sz w:val="24"/>
        </w:rPr>
        <w:t>中国核能行业</w:t>
      </w:r>
      <w:r>
        <w:rPr>
          <w:rFonts w:hAnsi="宋体"/>
          <w:sz w:val="24"/>
        </w:rPr>
        <w:t>协会</w:t>
      </w:r>
      <w:proofErr w:type="gramStart"/>
      <w:r>
        <w:rPr>
          <w:rFonts w:hAnsi="宋体" w:hint="eastAsia"/>
          <w:sz w:val="24"/>
        </w:rPr>
        <w:t>《</w:t>
      </w:r>
      <w:proofErr w:type="gramEnd"/>
      <w:r>
        <w:rPr>
          <w:rFonts w:hAnsi="宋体" w:hint="eastAsia"/>
          <w:sz w:val="24"/>
        </w:rPr>
        <w:t>关于</w:t>
      </w:r>
      <w:proofErr w:type="gramStart"/>
      <w:r>
        <w:rPr>
          <w:rFonts w:hAnsi="宋体" w:hint="eastAsia"/>
          <w:sz w:val="24"/>
        </w:rPr>
        <w:t>《</w:t>
      </w:r>
      <w:proofErr w:type="gramEnd"/>
      <w:r>
        <w:rPr>
          <w:rFonts w:hAnsi="宋体" w:hint="eastAsia"/>
          <w:sz w:val="24"/>
        </w:rPr>
        <w:t>核电厂协作方人员出入管理</w:t>
      </w:r>
      <w:proofErr w:type="gramStart"/>
      <w:r>
        <w:rPr>
          <w:rFonts w:hAnsi="宋体" w:hint="eastAsia"/>
          <w:sz w:val="24"/>
        </w:rPr>
        <w:t>》</w:t>
      </w:r>
      <w:proofErr w:type="gramEnd"/>
      <w:r>
        <w:rPr>
          <w:rFonts w:hAnsi="宋体" w:hint="eastAsia"/>
          <w:sz w:val="24"/>
        </w:rPr>
        <w:t>等</w:t>
      </w:r>
      <w:r>
        <w:rPr>
          <w:rFonts w:hAnsi="宋体" w:hint="eastAsia"/>
          <w:sz w:val="24"/>
        </w:rPr>
        <w:t>51</w:t>
      </w:r>
      <w:r>
        <w:rPr>
          <w:rFonts w:hAnsi="宋体" w:hint="eastAsia"/>
          <w:sz w:val="24"/>
        </w:rPr>
        <w:t>项团体标准通过立项审批</w:t>
      </w:r>
      <w:r>
        <w:rPr>
          <w:rFonts w:hAnsi="宋体"/>
          <w:sz w:val="24"/>
        </w:rPr>
        <w:t>的通知</w:t>
      </w:r>
      <w:proofErr w:type="gramStart"/>
      <w:r>
        <w:rPr>
          <w:rFonts w:hAnsi="宋体" w:hint="eastAsia"/>
          <w:sz w:val="24"/>
        </w:rPr>
        <w:t>》</w:t>
      </w:r>
      <w:proofErr w:type="gramEnd"/>
      <w:r>
        <w:rPr>
          <w:rFonts w:hAnsi="宋体" w:hint="eastAsia"/>
          <w:sz w:val="24"/>
        </w:rPr>
        <w:t>（</w:t>
      </w:r>
      <w:proofErr w:type="gramStart"/>
      <w:r>
        <w:rPr>
          <w:rFonts w:hAnsi="宋体" w:hint="eastAsia"/>
          <w:sz w:val="24"/>
        </w:rPr>
        <w:t>核协科</w:t>
      </w:r>
      <w:r>
        <w:rPr>
          <w:rFonts w:hAnsi="宋体"/>
          <w:sz w:val="24"/>
        </w:rPr>
        <w:t>函</w:t>
      </w:r>
      <w:proofErr w:type="gramEnd"/>
      <w:r>
        <w:rPr>
          <w:rFonts w:hAnsi="宋体" w:hint="eastAsia"/>
          <w:sz w:val="24"/>
        </w:rPr>
        <w:t>（</w:t>
      </w:r>
      <w:r>
        <w:rPr>
          <w:rFonts w:hAnsi="宋体" w:hint="eastAsia"/>
          <w:sz w:val="24"/>
        </w:rPr>
        <w:t>2023</w:t>
      </w:r>
      <w:r>
        <w:rPr>
          <w:rFonts w:hAnsi="宋体" w:hint="eastAsia"/>
          <w:sz w:val="24"/>
        </w:rPr>
        <w:t>）</w:t>
      </w:r>
      <w:r>
        <w:rPr>
          <w:rFonts w:hAnsi="宋体" w:hint="eastAsia"/>
          <w:sz w:val="24"/>
        </w:rPr>
        <w:t>508</w:t>
      </w:r>
      <w:r>
        <w:rPr>
          <w:rFonts w:hAnsi="宋体" w:hint="eastAsia"/>
          <w:sz w:val="24"/>
        </w:rPr>
        <w:t>号）部署，针对安全</w:t>
      </w:r>
      <w:r>
        <w:rPr>
          <w:rFonts w:hAnsi="宋体"/>
          <w:sz w:val="24"/>
        </w:rPr>
        <w:t>生产</w:t>
      </w:r>
      <w:r>
        <w:rPr>
          <w:rFonts w:hAnsi="宋体" w:hint="eastAsia"/>
          <w:sz w:val="24"/>
        </w:rPr>
        <w:t>领域</w:t>
      </w:r>
      <w:r>
        <w:rPr>
          <w:rFonts w:hAnsi="宋体"/>
          <w:sz w:val="24"/>
        </w:rPr>
        <w:t>展开</w:t>
      </w:r>
      <w:r>
        <w:rPr>
          <w:rFonts w:hAnsi="宋体" w:hint="eastAsia"/>
          <w:sz w:val="24"/>
        </w:rPr>
        <w:t>标准制定。</w:t>
      </w:r>
    </w:p>
    <w:p w14:paraId="3725E182" w14:textId="77777777" w:rsidR="00E650CE" w:rsidRPr="00C72270" w:rsidRDefault="004938CB" w:rsidP="00C72270">
      <w:pPr>
        <w:pStyle w:val="11"/>
        <w:autoSpaceDE w:val="0"/>
        <w:autoSpaceDN w:val="0"/>
        <w:spacing w:line="360" w:lineRule="auto"/>
        <w:ind w:firstLine="480"/>
        <w:textAlignment w:val="center"/>
        <w:rPr>
          <w:rFonts w:hAnsi="宋体" w:hint="eastAsia"/>
          <w:sz w:val="24"/>
        </w:rPr>
      </w:pPr>
      <w:r>
        <w:rPr>
          <w:rFonts w:hAnsi="宋体" w:hint="eastAsia"/>
          <w:sz w:val="24"/>
        </w:rPr>
        <w:t>本标准的</w:t>
      </w:r>
      <w:r>
        <w:rPr>
          <w:rFonts w:hAnsi="宋体"/>
          <w:sz w:val="24"/>
        </w:rPr>
        <w:t>主要起草单位为</w:t>
      </w:r>
      <w:r>
        <w:rPr>
          <w:rFonts w:hAnsi="宋体" w:hint="eastAsia"/>
          <w:sz w:val="24"/>
        </w:rPr>
        <w:t>上海核工程研究设计院股份有限公司</w:t>
      </w:r>
      <w:r>
        <w:rPr>
          <w:rFonts w:hAnsi="宋体"/>
          <w:sz w:val="24"/>
        </w:rPr>
        <w:t>，</w:t>
      </w:r>
      <w:r>
        <w:rPr>
          <w:rFonts w:hAnsi="宋体" w:hint="eastAsia"/>
          <w:sz w:val="24"/>
        </w:rPr>
        <w:t>标准于</w:t>
      </w:r>
      <w:r>
        <w:rPr>
          <w:rFonts w:hAnsi="宋体" w:hint="eastAsia"/>
          <w:sz w:val="24"/>
        </w:rPr>
        <w:t>2024</w:t>
      </w:r>
      <w:r>
        <w:rPr>
          <w:rFonts w:hAnsi="宋体" w:hint="eastAsia"/>
          <w:sz w:val="24"/>
        </w:rPr>
        <w:t>年</w:t>
      </w:r>
      <w:r>
        <w:rPr>
          <w:rFonts w:hAnsi="宋体" w:hint="eastAsia"/>
          <w:sz w:val="24"/>
        </w:rPr>
        <w:t>2</w:t>
      </w:r>
      <w:r>
        <w:rPr>
          <w:rFonts w:hAnsi="宋体" w:hint="eastAsia"/>
          <w:sz w:val="24"/>
        </w:rPr>
        <w:t>月完成</w:t>
      </w:r>
      <w:r>
        <w:rPr>
          <w:rFonts w:hAnsi="宋体"/>
          <w:sz w:val="24"/>
        </w:rPr>
        <w:t>草案编制。</w:t>
      </w:r>
    </w:p>
    <w:p w14:paraId="4349197C" w14:textId="77777777" w:rsidR="00E650CE" w:rsidRDefault="004938CB">
      <w:pPr>
        <w:rPr>
          <w:rFonts w:hint="eastAsia"/>
          <w:b/>
        </w:rPr>
      </w:pPr>
      <w:r>
        <w:rPr>
          <w:rFonts w:hint="eastAsia"/>
          <w:b/>
        </w:rPr>
        <w:t>2、主要工作过程</w:t>
      </w:r>
    </w:p>
    <w:p w14:paraId="66637B0B"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t>编制组在</w:t>
      </w:r>
      <w:r>
        <w:rPr>
          <w:rFonts w:hAnsi="宋体"/>
          <w:sz w:val="24"/>
        </w:rPr>
        <w:t>收集</w:t>
      </w:r>
      <w:r>
        <w:rPr>
          <w:rFonts w:hAnsi="宋体" w:hint="eastAsia"/>
          <w:sz w:val="24"/>
        </w:rPr>
        <w:t>并充分消化吸收国内、</w:t>
      </w:r>
      <w:proofErr w:type="gramStart"/>
      <w:r>
        <w:rPr>
          <w:rFonts w:hAnsi="宋体" w:hint="eastAsia"/>
          <w:sz w:val="24"/>
        </w:rPr>
        <w:t>外相关</w:t>
      </w:r>
      <w:proofErr w:type="gramEnd"/>
      <w:r>
        <w:rPr>
          <w:rFonts w:hAnsi="宋体" w:hint="eastAsia"/>
          <w:sz w:val="24"/>
        </w:rPr>
        <w:t>标准、期刊论文的</w:t>
      </w:r>
      <w:r>
        <w:rPr>
          <w:rFonts w:hAnsi="宋体"/>
          <w:sz w:val="24"/>
        </w:rPr>
        <w:t>基础上，</w:t>
      </w:r>
      <w:r>
        <w:rPr>
          <w:rFonts w:hAnsi="宋体" w:hint="eastAsia"/>
          <w:sz w:val="24"/>
        </w:rPr>
        <w:t>结合核电</w:t>
      </w:r>
      <w:r>
        <w:rPr>
          <w:rFonts w:hAnsi="宋体"/>
          <w:sz w:val="24"/>
        </w:rPr>
        <w:t>站一回路样品特点开展</w:t>
      </w:r>
      <w:r>
        <w:rPr>
          <w:rFonts w:hAnsi="宋体" w:hint="eastAsia"/>
          <w:sz w:val="24"/>
        </w:rPr>
        <w:t>方法开发</w:t>
      </w:r>
      <w:r>
        <w:rPr>
          <w:rFonts w:hAnsi="宋体"/>
          <w:sz w:val="24"/>
        </w:rPr>
        <w:t>和实验</w:t>
      </w:r>
      <w:r>
        <w:rPr>
          <w:rFonts w:hAnsi="宋体" w:hint="eastAsia"/>
          <w:sz w:val="24"/>
        </w:rPr>
        <w:t>数据收集工作，</w:t>
      </w:r>
      <w:r>
        <w:rPr>
          <w:rFonts w:hAnsi="宋体"/>
          <w:sz w:val="24"/>
        </w:rPr>
        <w:t>并制定了标准编制原则</w:t>
      </w:r>
      <w:r>
        <w:rPr>
          <w:rFonts w:hAnsi="宋体" w:hint="eastAsia"/>
          <w:sz w:val="24"/>
        </w:rPr>
        <w:t>。</w:t>
      </w:r>
    </w:p>
    <w:p w14:paraId="11743C66"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t>根据标准编制原则，于</w:t>
      </w:r>
      <w:r>
        <w:rPr>
          <w:rFonts w:hAnsi="宋体" w:hint="eastAsia"/>
          <w:sz w:val="24"/>
        </w:rPr>
        <w:t>20</w:t>
      </w:r>
      <w:r>
        <w:rPr>
          <w:rFonts w:hAnsi="宋体"/>
          <w:sz w:val="24"/>
        </w:rPr>
        <w:t>2</w:t>
      </w:r>
      <w:r>
        <w:rPr>
          <w:rFonts w:hAnsi="宋体" w:hint="eastAsia"/>
          <w:sz w:val="24"/>
        </w:rPr>
        <w:t>4</w:t>
      </w:r>
      <w:r>
        <w:rPr>
          <w:rFonts w:hAnsi="宋体" w:hint="eastAsia"/>
          <w:sz w:val="24"/>
        </w:rPr>
        <w:t>年</w:t>
      </w:r>
      <w:r>
        <w:rPr>
          <w:rFonts w:hAnsi="宋体" w:hint="eastAsia"/>
          <w:sz w:val="24"/>
        </w:rPr>
        <w:t>2</w:t>
      </w:r>
      <w:r>
        <w:rPr>
          <w:rFonts w:hAnsi="宋体" w:hint="eastAsia"/>
          <w:sz w:val="24"/>
        </w:rPr>
        <w:t>月完成了标准征求意见稿（草案）。随后，编制组内部对草案内容进行了数次校核</w:t>
      </w:r>
      <w:r>
        <w:rPr>
          <w:rFonts w:hAnsi="宋体"/>
          <w:sz w:val="24"/>
        </w:rPr>
        <w:t>和修改</w:t>
      </w:r>
      <w:r>
        <w:rPr>
          <w:rFonts w:hAnsi="宋体" w:hint="eastAsia"/>
          <w:sz w:val="24"/>
        </w:rPr>
        <w:t>。</w:t>
      </w:r>
    </w:p>
    <w:p w14:paraId="333DE202"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t>20</w:t>
      </w:r>
      <w:r>
        <w:rPr>
          <w:rFonts w:hAnsi="宋体"/>
          <w:sz w:val="24"/>
        </w:rPr>
        <w:t>2</w:t>
      </w:r>
      <w:r>
        <w:rPr>
          <w:rFonts w:hAnsi="宋体" w:hint="eastAsia"/>
          <w:sz w:val="24"/>
        </w:rPr>
        <w:t>4</w:t>
      </w:r>
      <w:r>
        <w:rPr>
          <w:rFonts w:hAnsi="宋体" w:hint="eastAsia"/>
          <w:sz w:val="24"/>
        </w:rPr>
        <w:t>年</w:t>
      </w:r>
      <w:r>
        <w:rPr>
          <w:rFonts w:hAnsi="宋体" w:hint="eastAsia"/>
          <w:sz w:val="24"/>
        </w:rPr>
        <w:t>3</w:t>
      </w:r>
      <w:r>
        <w:rPr>
          <w:rFonts w:hAnsi="宋体" w:hint="eastAsia"/>
          <w:sz w:val="24"/>
        </w:rPr>
        <w:t>月，编制组根据内部评审意见对草案进行了修改完善，形成了征求意见稿。</w:t>
      </w:r>
    </w:p>
    <w:p w14:paraId="68142F1B" w14:textId="77777777" w:rsidR="00E650CE" w:rsidRDefault="004938CB">
      <w:pPr>
        <w:rPr>
          <w:rFonts w:hint="eastAsia"/>
          <w:b/>
        </w:rPr>
      </w:pPr>
      <w:r>
        <w:rPr>
          <w:rFonts w:hint="eastAsia"/>
          <w:b/>
        </w:rPr>
        <w:t>3、</w:t>
      </w:r>
      <w:r>
        <w:rPr>
          <w:b/>
        </w:rPr>
        <w:t>主要参加单位和工作组成员及其所作的工作等</w:t>
      </w:r>
    </w:p>
    <w:p w14:paraId="69600A7A" w14:textId="77777777" w:rsidR="00E650CE" w:rsidRDefault="004938CB">
      <w:pPr>
        <w:pStyle w:val="1"/>
        <w:autoSpaceDE w:val="0"/>
        <w:autoSpaceDN w:val="0"/>
        <w:spacing w:line="360" w:lineRule="auto"/>
        <w:ind w:firstLine="480"/>
        <w:textAlignment w:val="center"/>
      </w:pPr>
      <w:r>
        <w:rPr>
          <w:rFonts w:hAnsi="宋体" w:hint="eastAsia"/>
          <w:sz w:val="24"/>
        </w:rPr>
        <w:t>编制组牵头</w:t>
      </w:r>
      <w:proofErr w:type="gramStart"/>
      <w:r>
        <w:rPr>
          <w:rFonts w:hAnsi="宋体" w:hint="eastAsia"/>
          <w:sz w:val="24"/>
        </w:rPr>
        <w:t>杭州谱育</w:t>
      </w:r>
      <w:r>
        <w:rPr>
          <w:rFonts w:hAnsi="宋体"/>
          <w:sz w:val="24"/>
        </w:rPr>
        <w:t>化学</w:t>
      </w:r>
      <w:proofErr w:type="gramEnd"/>
      <w:r>
        <w:rPr>
          <w:rFonts w:hAnsi="宋体"/>
          <w:sz w:val="24"/>
        </w:rPr>
        <w:t>实验室、</w:t>
      </w:r>
      <w:r>
        <w:rPr>
          <w:rFonts w:hAnsi="宋体" w:hint="eastAsia"/>
          <w:sz w:val="24"/>
        </w:rPr>
        <w:t>山东</w:t>
      </w:r>
      <w:r>
        <w:rPr>
          <w:rFonts w:hAnsi="宋体"/>
          <w:sz w:val="24"/>
        </w:rPr>
        <w:t>海阳</w:t>
      </w:r>
      <w:r>
        <w:rPr>
          <w:rFonts w:hAnsi="宋体" w:hint="eastAsia"/>
          <w:sz w:val="24"/>
        </w:rPr>
        <w:t>核电</w:t>
      </w:r>
      <w:r>
        <w:rPr>
          <w:rFonts w:hAnsi="宋体"/>
          <w:sz w:val="24"/>
        </w:rPr>
        <w:t>化学实验室，根据</w:t>
      </w:r>
      <w:r>
        <w:rPr>
          <w:rFonts w:hAnsi="宋体" w:hint="eastAsia"/>
          <w:sz w:val="24"/>
        </w:rPr>
        <w:t>标准</w:t>
      </w:r>
      <w:r>
        <w:rPr>
          <w:rFonts w:hAnsi="宋体"/>
          <w:sz w:val="24"/>
        </w:rPr>
        <w:t>推荐方法</w:t>
      </w:r>
      <w:r>
        <w:rPr>
          <w:rFonts w:hAnsi="宋体" w:hint="eastAsia"/>
          <w:sz w:val="24"/>
        </w:rPr>
        <w:t>，使用</w:t>
      </w:r>
      <w:r>
        <w:rPr>
          <w:rFonts w:hAnsi="宋体"/>
          <w:sz w:val="24"/>
        </w:rPr>
        <w:t>多种型号</w:t>
      </w:r>
      <w:r>
        <w:rPr>
          <w:rFonts w:hAnsi="宋体" w:hint="eastAsia"/>
          <w:sz w:val="24"/>
        </w:rPr>
        <w:t>的离子色谱</w:t>
      </w:r>
      <w:r>
        <w:rPr>
          <w:rFonts w:hAnsi="宋体"/>
          <w:sz w:val="24"/>
        </w:rPr>
        <w:t>仪顺利</w:t>
      </w:r>
      <w:r>
        <w:rPr>
          <w:rFonts w:hAnsi="宋体" w:hint="eastAsia"/>
          <w:sz w:val="24"/>
        </w:rPr>
        <w:t>完成比对试验</w:t>
      </w:r>
      <w:r>
        <w:rPr>
          <w:rFonts w:hint="eastAsia"/>
        </w:rPr>
        <w:t>。</w:t>
      </w:r>
    </w:p>
    <w:p w14:paraId="247EEB33"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t>中国</w:t>
      </w:r>
      <w:r>
        <w:rPr>
          <w:rFonts w:hAnsi="宋体"/>
          <w:sz w:val="24"/>
        </w:rPr>
        <w:t>核能行业协会</w:t>
      </w:r>
      <w:r>
        <w:rPr>
          <w:rFonts w:hAnsi="宋体" w:hint="eastAsia"/>
          <w:sz w:val="24"/>
        </w:rPr>
        <w:t>在本</w:t>
      </w:r>
      <w:r>
        <w:rPr>
          <w:rFonts w:hAnsi="宋体"/>
          <w:sz w:val="24"/>
        </w:rPr>
        <w:t>标准</w:t>
      </w:r>
      <w:r>
        <w:rPr>
          <w:rFonts w:hAnsi="宋体" w:hint="eastAsia"/>
          <w:sz w:val="24"/>
        </w:rPr>
        <w:t>制定</w:t>
      </w:r>
      <w:r>
        <w:rPr>
          <w:rFonts w:hAnsi="宋体"/>
          <w:sz w:val="24"/>
        </w:rPr>
        <w:t>过程</w:t>
      </w:r>
      <w:r>
        <w:rPr>
          <w:rFonts w:hAnsi="宋体" w:hint="eastAsia"/>
          <w:sz w:val="24"/>
        </w:rPr>
        <w:t>提供</w:t>
      </w:r>
      <w:r>
        <w:rPr>
          <w:rFonts w:hAnsi="宋体"/>
          <w:sz w:val="24"/>
        </w:rPr>
        <w:t>了形式审查</w:t>
      </w:r>
      <w:r>
        <w:rPr>
          <w:rFonts w:hAnsi="宋体" w:hint="eastAsia"/>
          <w:sz w:val="24"/>
        </w:rPr>
        <w:t>和</w:t>
      </w:r>
      <w:r>
        <w:rPr>
          <w:rFonts w:hAnsi="宋体"/>
          <w:sz w:val="24"/>
        </w:rPr>
        <w:t>技术指导。</w:t>
      </w:r>
    </w:p>
    <w:p w14:paraId="3411C730" w14:textId="77777777" w:rsidR="00E650CE" w:rsidRDefault="004938CB">
      <w:pPr>
        <w:outlineLvl w:val="0"/>
        <w:rPr>
          <w:rFonts w:hint="eastAsia"/>
          <w:b/>
          <w:sz w:val="28"/>
          <w:szCs w:val="28"/>
        </w:rPr>
      </w:pPr>
      <w:r>
        <w:rPr>
          <w:rFonts w:hint="eastAsia"/>
          <w:b/>
          <w:sz w:val="28"/>
          <w:szCs w:val="28"/>
        </w:rPr>
        <w:t>二、标准编制原则和主要内容</w:t>
      </w:r>
    </w:p>
    <w:p w14:paraId="2913571A" w14:textId="77777777" w:rsidR="00E650CE" w:rsidRDefault="004938CB">
      <w:pPr>
        <w:rPr>
          <w:rFonts w:hint="eastAsia"/>
          <w:b/>
        </w:rPr>
      </w:pPr>
      <w:r>
        <w:rPr>
          <w:rFonts w:hint="eastAsia"/>
          <w:b/>
        </w:rPr>
        <w:t>1、标准编制原则</w:t>
      </w:r>
    </w:p>
    <w:p w14:paraId="6601520A"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t>本标准的修订符合一回路加锌</w:t>
      </w:r>
      <w:r>
        <w:rPr>
          <w:rFonts w:hAnsi="宋体"/>
          <w:sz w:val="24"/>
        </w:rPr>
        <w:t>技术在</w:t>
      </w:r>
      <w:r>
        <w:rPr>
          <w:rFonts w:hAnsi="宋体" w:hint="eastAsia"/>
          <w:sz w:val="24"/>
        </w:rPr>
        <w:t>国内</w:t>
      </w:r>
      <w:r>
        <w:rPr>
          <w:rFonts w:hAnsi="宋体"/>
          <w:sz w:val="24"/>
        </w:rPr>
        <w:t>核电的发展趋势</w:t>
      </w:r>
      <w:r>
        <w:rPr>
          <w:rFonts w:hAnsi="宋体" w:hint="eastAsia"/>
          <w:sz w:val="24"/>
        </w:rPr>
        <w:t>，本着先进性、科学性、合理性和可操作性的原则以及标准的目标、统一性、协调性、</w:t>
      </w:r>
      <w:r>
        <w:rPr>
          <w:rFonts w:hAnsi="宋体"/>
          <w:sz w:val="24"/>
        </w:rPr>
        <w:t>实用性、一致性和</w:t>
      </w:r>
      <w:r>
        <w:rPr>
          <w:rFonts w:hAnsi="宋体" w:hint="eastAsia"/>
          <w:sz w:val="24"/>
        </w:rPr>
        <w:t>规范性原则来进行本标准的制定工作。</w:t>
      </w:r>
    </w:p>
    <w:p w14:paraId="5BB5426A" w14:textId="77777777" w:rsidR="00E650CE" w:rsidRDefault="004938CB">
      <w:pPr>
        <w:pStyle w:val="1"/>
        <w:autoSpaceDE w:val="0"/>
        <w:autoSpaceDN w:val="0"/>
        <w:spacing w:line="360" w:lineRule="auto"/>
        <w:ind w:firstLineChars="0" w:firstLine="0"/>
        <w:textAlignment w:val="center"/>
        <w:rPr>
          <w:rFonts w:hAnsi="宋体" w:hint="eastAsia"/>
          <w:sz w:val="24"/>
        </w:rPr>
      </w:pPr>
      <w:r>
        <w:rPr>
          <w:rFonts w:hAnsi="宋体" w:hint="eastAsia"/>
          <w:sz w:val="24"/>
        </w:rPr>
        <w:t>（</w:t>
      </w:r>
      <w:r>
        <w:rPr>
          <w:rFonts w:hAnsi="宋体"/>
          <w:sz w:val="24"/>
        </w:rPr>
        <w:t>1</w:t>
      </w:r>
      <w:r>
        <w:rPr>
          <w:rFonts w:hAnsi="宋体"/>
          <w:sz w:val="24"/>
        </w:rPr>
        <w:t>）科学性</w:t>
      </w:r>
    </w:p>
    <w:p w14:paraId="53C1D537"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lastRenderedPageBreak/>
        <w:t>本标准在实施了大量离子色谱仪测量核电厂一回路冷却剂</w:t>
      </w:r>
      <w:r>
        <w:rPr>
          <w:rFonts w:hAnsi="宋体"/>
          <w:sz w:val="24"/>
        </w:rPr>
        <w:t xml:space="preserve"> </w:t>
      </w:r>
      <w:r>
        <w:rPr>
          <w:rFonts w:hAnsi="宋体"/>
          <w:sz w:val="24"/>
        </w:rPr>
        <w:t>硼酸的测定</w:t>
      </w:r>
      <w:r>
        <w:rPr>
          <w:rFonts w:hAnsi="宋体" w:hint="eastAsia"/>
          <w:sz w:val="24"/>
        </w:rPr>
        <w:t xml:space="preserve"> </w:t>
      </w:r>
      <w:r>
        <w:rPr>
          <w:rFonts w:hAnsi="宋体"/>
          <w:sz w:val="24"/>
        </w:rPr>
        <w:t>滴定法</w:t>
      </w:r>
      <w:r>
        <w:rPr>
          <w:rFonts w:hAnsi="宋体" w:hint="eastAsia"/>
          <w:sz w:val="24"/>
        </w:rPr>
        <w:t>浓度方法的条件</w:t>
      </w:r>
      <w:r>
        <w:rPr>
          <w:rFonts w:hAnsi="宋体"/>
          <w:sz w:val="24"/>
        </w:rPr>
        <w:t>测试和</w:t>
      </w:r>
      <w:r>
        <w:rPr>
          <w:rFonts w:hAnsi="宋体" w:hint="eastAsia"/>
          <w:sz w:val="24"/>
        </w:rPr>
        <w:t>多家</w:t>
      </w:r>
      <w:r>
        <w:rPr>
          <w:rFonts w:hAnsi="宋体"/>
          <w:sz w:val="24"/>
        </w:rPr>
        <w:t>试验室</w:t>
      </w:r>
      <w:r>
        <w:rPr>
          <w:rFonts w:hAnsi="宋体" w:hint="eastAsia"/>
          <w:sz w:val="24"/>
        </w:rPr>
        <w:t>实测数据验证的</w:t>
      </w:r>
      <w:r>
        <w:rPr>
          <w:rFonts w:hAnsi="宋体"/>
          <w:sz w:val="24"/>
        </w:rPr>
        <w:t>基础上</w:t>
      </w:r>
      <w:r>
        <w:rPr>
          <w:rFonts w:hAnsi="宋体" w:hint="eastAsia"/>
          <w:sz w:val="24"/>
        </w:rPr>
        <w:t>，参考美国核电实验室测试</w:t>
      </w:r>
      <w:r>
        <w:rPr>
          <w:rFonts w:hAnsi="宋体"/>
          <w:sz w:val="24"/>
        </w:rPr>
        <w:t>方法，</w:t>
      </w:r>
      <w:r>
        <w:rPr>
          <w:rFonts w:hAnsi="宋体" w:hint="eastAsia"/>
          <w:sz w:val="24"/>
        </w:rPr>
        <w:t>对团体标准进行编写。</w:t>
      </w:r>
    </w:p>
    <w:p w14:paraId="4E1D90B9" w14:textId="77777777" w:rsidR="00E650CE" w:rsidRDefault="004938CB">
      <w:pPr>
        <w:pStyle w:val="1"/>
        <w:autoSpaceDE w:val="0"/>
        <w:autoSpaceDN w:val="0"/>
        <w:spacing w:line="360" w:lineRule="auto"/>
        <w:ind w:firstLineChars="0" w:firstLine="0"/>
        <w:textAlignment w:val="center"/>
        <w:rPr>
          <w:rFonts w:hAnsi="宋体" w:hint="eastAsia"/>
          <w:sz w:val="24"/>
        </w:rPr>
      </w:pPr>
      <w:r>
        <w:rPr>
          <w:rFonts w:hAnsi="宋体" w:hint="eastAsia"/>
          <w:sz w:val="24"/>
        </w:rPr>
        <w:t>（</w:t>
      </w:r>
      <w:r>
        <w:rPr>
          <w:rFonts w:hAnsi="宋体"/>
          <w:sz w:val="24"/>
        </w:rPr>
        <w:t>2</w:t>
      </w:r>
      <w:r>
        <w:rPr>
          <w:rFonts w:hAnsi="宋体"/>
          <w:sz w:val="24"/>
        </w:rPr>
        <w:t>）实用性</w:t>
      </w:r>
    </w:p>
    <w:p w14:paraId="5F45D8B4"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t>本标准规定了使用滴定仪</w:t>
      </w:r>
      <w:r>
        <w:rPr>
          <w:rFonts w:hAnsi="宋体"/>
          <w:sz w:val="24"/>
        </w:rPr>
        <w:t>测量</w:t>
      </w:r>
      <w:r>
        <w:rPr>
          <w:rFonts w:hAnsi="宋体" w:hint="eastAsia"/>
          <w:sz w:val="24"/>
        </w:rPr>
        <w:t>一回路冷却剂中硼酸的全过程，包括标准</w:t>
      </w:r>
      <w:r>
        <w:rPr>
          <w:rFonts w:hAnsi="宋体"/>
          <w:sz w:val="24"/>
        </w:rPr>
        <w:t>溶液配制、</w:t>
      </w:r>
      <w:r>
        <w:rPr>
          <w:rFonts w:hAnsi="宋体" w:hint="eastAsia"/>
          <w:sz w:val="24"/>
        </w:rPr>
        <w:t>样品测量、数据处理</w:t>
      </w:r>
      <w:r>
        <w:rPr>
          <w:rFonts w:hAnsi="宋体"/>
          <w:sz w:val="24"/>
        </w:rPr>
        <w:t>、</w:t>
      </w:r>
      <w:r>
        <w:rPr>
          <w:rFonts w:hAnsi="宋体" w:hint="eastAsia"/>
          <w:sz w:val="24"/>
        </w:rPr>
        <w:t>准确度评价等环节建立规范，以</w:t>
      </w:r>
      <w:r>
        <w:rPr>
          <w:rFonts w:hAnsi="宋体"/>
          <w:sz w:val="24"/>
        </w:rPr>
        <w:t>大量验证数据作为依据，</w:t>
      </w:r>
      <w:r>
        <w:rPr>
          <w:rFonts w:hAnsi="宋体" w:hint="eastAsia"/>
          <w:sz w:val="24"/>
        </w:rPr>
        <w:t>具备科学性、客观性，从而达到准确测量一回路冷却剂中硼酸的目的。</w:t>
      </w:r>
    </w:p>
    <w:p w14:paraId="159766E2" w14:textId="77777777" w:rsidR="00E650CE" w:rsidRDefault="004938CB">
      <w:pPr>
        <w:rPr>
          <w:rFonts w:hint="eastAsia"/>
          <w:b/>
        </w:rPr>
      </w:pPr>
      <w:r>
        <w:rPr>
          <w:rFonts w:hint="eastAsia"/>
          <w:b/>
        </w:rPr>
        <w:t>2、标准主要内容的依据</w:t>
      </w:r>
    </w:p>
    <w:p w14:paraId="6C529862" w14:textId="77777777" w:rsidR="00E650CE" w:rsidRDefault="004938CB">
      <w:pPr>
        <w:pStyle w:val="1"/>
        <w:autoSpaceDE w:val="0"/>
        <w:autoSpaceDN w:val="0"/>
        <w:spacing w:line="360" w:lineRule="auto"/>
        <w:ind w:firstLine="480"/>
        <w:textAlignment w:val="center"/>
        <w:rPr>
          <w:rFonts w:hAnsi="宋体" w:hint="eastAsia"/>
          <w:sz w:val="24"/>
        </w:rPr>
      </w:pPr>
      <w:r>
        <w:rPr>
          <w:rFonts w:hAnsi="宋体" w:hint="eastAsia"/>
          <w:sz w:val="24"/>
        </w:rPr>
        <w:t>按</w:t>
      </w:r>
      <w:r>
        <w:rPr>
          <w:rFonts w:hAnsi="宋体"/>
          <w:sz w:val="24"/>
        </w:rPr>
        <w:t>GB/T 20001.4</w:t>
      </w:r>
      <w:r>
        <w:rPr>
          <w:rFonts w:hAnsi="宋体"/>
          <w:sz w:val="24"/>
        </w:rPr>
        <w:t>—</w:t>
      </w:r>
      <w:r>
        <w:rPr>
          <w:rFonts w:hAnsi="宋体"/>
          <w:sz w:val="24"/>
        </w:rPr>
        <w:t>2015</w:t>
      </w:r>
      <w:r>
        <w:rPr>
          <w:rFonts w:hAnsi="宋体"/>
          <w:sz w:val="24"/>
        </w:rPr>
        <w:t>的规定，确定本标准总体结构如下：</w:t>
      </w:r>
    </w:p>
    <w:p w14:paraId="37ACCEDB" w14:textId="77777777" w:rsidR="00E650CE" w:rsidRDefault="004938CB">
      <w:pPr>
        <w:rPr>
          <w:rFonts w:hint="eastAsia"/>
        </w:rPr>
      </w:pPr>
      <w:r>
        <w:rPr>
          <w:rFonts w:hint="eastAsia"/>
        </w:rPr>
        <w:t>——范围；</w:t>
      </w:r>
    </w:p>
    <w:p w14:paraId="7B8866B8" w14:textId="77777777" w:rsidR="00E650CE" w:rsidRDefault="004938CB">
      <w:pPr>
        <w:rPr>
          <w:rFonts w:hint="eastAsia"/>
        </w:rPr>
      </w:pPr>
      <w:r>
        <w:rPr>
          <w:rFonts w:hint="eastAsia"/>
        </w:rPr>
        <w:t>——规范性引用文件；</w:t>
      </w:r>
    </w:p>
    <w:p w14:paraId="3AD9A5C4" w14:textId="77777777" w:rsidR="00E650CE" w:rsidRDefault="004938CB">
      <w:pPr>
        <w:rPr>
          <w:rFonts w:hint="eastAsia"/>
        </w:rPr>
      </w:pPr>
      <w:r>
        <w:rPr>
          <w:rFonts w:hint="eastAsia"/>
        </w:rPr>
        <w:t>——原理；</w:t>
      </w:r>
    </w:p>
    <w:p w14:paraId="4AB93309" w14:textId="77777777" w:rsidR="00E650CE" w:rsidRDefault="004938CB">
      <w:pPr>
        <w:rPr>
          <w:rFonts w:hint="eastAsia"/>
        </w:rPr>
      </w:pPr>
      <w:r>
        <w:rPr>
          <w:rFonts w:hint="eastAsia"/>
        </w:rPr>
        <w:t>——试剂和材料；</w:t>
      </w:r>
    </w:p>
    <w:p w14:paraId="3DE7AA26" w14:textId="77777777" w:rsidR="00E650CE" w:rsidRDefault="004938CB">
      <w:pPr>
        <w:rPr>
          <w:rFonts w:hint="eastAsia"/>
        </w:rPr>
      </w:pPr>
      <w:r>
        <w:rPr>
          <w:rFonts w:hint="eastAsia"/>
        </w:rPr>
        <w:t>——仪器和设备；</w:t>
      </w:r>
    </w:p>
    <w:p w14:paraId="7B775163" w14:textId="77777777" w:rsidR="00E650CE" w:rsidRDefault="004938CB">
      <w:pPr>
        <w:rPr>
          <w:rFonts w:hint="eastAsia"/>
        </w:rPr>
      </w:pPr>
      <w:r>
        <w:rPr>
          <w:rFonts w:hint="eastAsia"/>
        </w:rPr>
        <w:t>——样品；</w:t>
      </w:r>
    </w:p>
    <w:p w14:paraId="2B7A3E26" w14:textId="77777777" w:rsidR="00E650CE" w:rsidRDefault="004938CB">
      <w:pPr>
        <w:rPr>
          <w:rFonts w:hint="eastAsia"/>
        </w:rPr>
      </w:pPr>
      <w:r>
        <w:rPr>
          <w:rFonts w:hint="eastAsia"/>
        </w:rPr>
        <w:t>——分析步骤；</w:t>
      </w:r>
    </w:p>
    <w:p w14:paraId="0BAF02F6" w14:textId="77777777" w:rsidR="00E650CE" w:rsidRDefault="004938CB">
      <w:pPr>
        <w:rPr>
          <w:rFonts w:hint="eastAsia"/>
        </w:rPr>
      </w:pPr>
      <w:r>
        <w:rPr>
          <w:rFonts w:hint="eastAsia"/>
        </w:rPr>
        <w:t>——结果计算；</w:t>
      </w:r>
    </w:p>
    <w:p w14:paraId="541151F6" w14:textId="77777777" w:rsidR="00E650CE" w:rsidRDefault="004938CB">
      <w:pPr>
        <w:rPr>
          <w:rFonts w:hint="eastAsia"/>
        </w:rPr>
      </w:pPr>
      <w:r>
        <w:rPr>
          <w:rFonts w:hint="eastAsia"/>
        </w:rPr>
        <w:t>——精密度；</w:t>
      </w:r>
    </w:p>
    <w:p w14:paraId="378225DB" w14:textId="77777777" w:rsidR="00E650CE" w:rsidRDefault="004938CB">
      <w:pPr>
        <w:rPr>
          <w:rFonts w:hint="eastAsia"/>
        </w:rPr>
      </w:pPr>
      <w:r>
        <w:rPr>
          <w:rFonts w:hint="eastAsia"/>
        </w:rPr>
        <w:t>——质量保证和控制；</w:t>
      </w:r>
    </w:p>
    <w:p w14:paraId="16F31415" w14:textId="77777777" w:rsidR="00E650CE" w:rsidRDefault="004938CB">
      <w:pPr>
        <w:rPr>
          <w:rFonts w:hint="eastAsia"/>
        </w:rPr>
      </w:pPr>
      <w:r>
        <w:rPr>
          <w:rFonts w:hint="eastAsia"/>
        </w:rPr>
        <w:t>——</w:t>
      </w:r>
      <w:r>
        <w:t>试验报告</w:t>
      </w:r>
      <w:r>
        <w:rPr>
          <w:rFonts w:hint="eastAsia"/>
        </w:rPr>
        <w:t>；</w:t>
      </w:r>
    </w:p>
    <w:p w14:paraId="06563516" w14:textId="77777777" w:rsidR="00E650CE" w:rsidRDefault="004938CB">
      <w:pPr>
        <w:rPr>
          <w:rFonts w:hint="eastAsia"/>
        </w:rPr>
      </w:pPr>
      <w:r>
        <w:rPr>
          <w:rFonts w:hint="eastAsia"/>
        </w:rPr>
        <w:t>——安全注意事项。</w:t>
      </w:r>
    </w:p>
    <w:p w14:paraId="343F3D19" w14:textId="77777777" w:rsidR="00E650CE" w:rsidRDefault="004938CB">
      <w:pPr>
        <w:rPr>
          <w:rFonts w:hint="eastAsia"/>
          <w:b/>
        </w:rPr>
      </w:pPr>
      <w:r>
        <w:rPr>
          <w:rFonts w:hint="eastAsia"/>
          <w:b/>
        </w:rPr>
        <w:t>3、解决的主要问题</w:t>
      </w:r>
    </w:p>
    <w:p w14:paraId="7917B315" w14:textId="77777777" w:rsidR="004938CB" w:rsidRPr="002806E2" w:rsidRDefault="004938CB" w:rsidP="002806E2">
      <w:pPr>
        <w:pStyle w:val="1"/>
        <w:autoSpaceDE w:val="0"/>
        <w:autoSpaceDN w:val="0"/>
        <w:spacing w:line="360" w:lineRule="auto"/>
        <w:ind w:firstLine="480"/>
        <w:textAlignment w:val="center"/>
        <w:rPr>
          <w:sz w:val="24"/>
        </w:rPr>
      </w:pPr>
      <w:r w:rsidRPr="002806E2">
        <w:rPr>
          <w:rFonts w:hint="eastAsia"/>
          <w:sz w:val="24"/>
        </w:rPr>
        <w:t>在压水反应堆核电机组的一回路冷却剂中，硼酸是一种最为主要的添加剂。硼酸中含有的</w:t>
      </w:r>
      <w:r w:rsidRPr="002806E2">
        <w:rPr>
          <w:sz w:val="24"/>
        </w:rPr>
        <w:t xml:space="preserve">B-10 </w:t>
      </w:r>
      <w:r w:rsidRPr="002806E2">
        <w:rPr>
          <w:sz w:val="24"/>
        </w:rPr>
        <w:t>同位素是良好的中子</w:t>
      </w:r>
      <w:r w:rsidRPr="002806E2">
        <w:rPr>
          <w:rFonts w:hint="eastAsia"/>
          <w:sz w:val="24"/>
        </w:rPr>
        <w:t>吸收剂，而硼酸中</w:t>
      </w:r>
      <w:r w:rsidRPr="002806E2">
        <w:rPr>
          <w:sz w:val="24"/>
        </w:rPr>
        <w:t xml:space="preserve">B-10 </w:t>
      </w:r>
      <w:r w:rsidRPr="002806E2">
        <w:rPr>
          <w:sz w:val="24"/>
        </w:rPr>
        <w:t>同位素的丰度可以认为是固定不变的</w:t>
      </w:r>
      <w:r w:rsidRPr="002806E2">
        <w:rPr>
          <w:rFonts w:hint="eastAsia"/>
          <w:sz w:val="24"/>
        </w:rPr>
        <w:t>常数，通过调整一回路中的硼酸浓度，即可以限制链式反应中的中子产额，从而达到控制反应堆反应性的目的。因此，准确地测量冷却剂中的硼酸浓度，是压水反应堆核电机组化学控制调节的一项核心任务。</w:t>
      </w:r>
    </w:p>
    <w:p w14:paraId="1D3E2604" w14:textId="77777777" w:rsidR="004938CB" w:rsidRPr="002806E2" w:rsidRDefault="004938CB" w:rsidP="002806E2">
      <w:pPr>
        <w:pStyle w:val="1"/>
        <w:autoSpaceDE w:val="0"/>
        <w:autoSpaceDN w:val="0"/>
        <w:spacing w:line="360" w:lineRule="auto"/>
        <w:ind w:firstLine="480"/>
        <w:textAlignment w:val="center"/>
        <w:rPr>
          <w:sz w:val="24"/>
        </w:rPr>
      </w:pPr>
      <w:r w:rsidRPr="002806E2">
        <w:rPr>
          <w:rFonts w:hint="eastAsia"/>
          <w:sz w:val="24"/>
        </w:rPr>
        <w:t>由于压水反应堆核电机组的一回路冷却剂以除盐纯水为主体，其中除添加的硼酸外无其他酸性物质，因此，可以通过酸碱滴定的方法来简便快捷地测量硼酸</w:t>
      </w:r>
      <w:r w:rsidRPr="002806E2">
        <w:rPr>
          <w:rFonts w:hint="eastAsia"/>
          <w:sz w:val="24"/>
        </w:rPr>
        <w:lastRenderedPageBreak/>
        <w:t>浓度，测得的硼酸浓度通常会转化为硼元素的质量比浓度（以下简称为</w:t>
      </w:r>
      <w:r w:rsidRPr="002806E2">
        <w:rPr>
          <w:sz w:val="24"/>
        </w:rPr>
        <w:t>B</w:t>
      </w:r>
      <w:r w:rsidRPr="002806E2">
        <w:rPr>
          <w:sz w:val="24"/>
        </w:rPr>
        <w:t>浓度）来表示。</w:t>
      </w:r>
    </w:p>
    <w:p w14:paraId="744524D1" w14:textId="77777777" w:rsidR="004938CB" w:rsidRDefault="004938CB" w:rsidP="002806E2">
      <w:pPr>
        <w:pStyle w:val="1"/>
        <w:autoSpaceDE w:val="0"/>
        <w:autoSpaceDN w:val="0"/>
        <w:spacing w:line="360" w:lineRule="auto"/>
        <w:ind w:firstLine="480"/>
        <w:textAlignment w:val="center"/>
      </w:pPr>
      <w:r w:rsidRPr="002806E2">
        <w:rPr>
          <w:rFonts w:hint="eastAsia"/>
          <w:sz w:val="24"/>
        </w:rPr>
        <w:t>硼酸是一种弱酸，不能用标准氢氧化钠溶液直接进行定量滴定。当硼酸溶液中加入甘露醇后，甘露醇会与硼酸生成络合酸，可转化成一种较强的酸，这时就可以用氢氧化钠标准溶液直接进行滴定，滴定仪在整个滴定过程中检测到</w:t>
      </w:r>
      <w:r w:rsidRPr="002806E2">
        <w:rPr>
          <w:rFonts w:hint="eastAsia"/>
          <w:sz w:val="24"/>
        </w:rPr>
        <w:t>pH</w:t>
      </w:r>
      <w:r w:rsidRPr="002806E2">
        <w:rPr>
          <w:rFonts w:hint="eastAsia"/>
          <w:sz w:val="24"/>
        </w:rPr>
        <w:t>变化率最大值时所对应的浓度为硼酸浓度，其反应式为</w:t>
      </w:r>
      <w:r w:rsidRPr="002806E2">
        <w:rPr>
          <w:rFonts w:hint="eastAsia"/>
          <w:sz w:val="24"/>
        </w:rPr>
        <w:t>:</w:t>
      </w:r>
      <w:r w:rsidRPr="00065023">
        <w:rPr>
          <w:rFonts w:hint="eastAsia"/>
        </w:rPr>
        <w:t xml:space="preserve">    </w:t>
      </w:r>
    </w:p>
    <w:p w14:paraId="1BA25D10" w14:textId="77777777" w:rsidR="004938CB" w:rsidRPr="00266751" w:rsidRDefault="004938CB" w:rsidP="004938CB">
      <w:pPr>
        <w:ind w:firstLine="420"/>
        <w:jc w:val="center"/>
        <w:textAlignment w:val="baseline"/>
        <w:rPr>
          <w:rFonts w:hint="eastAsia"/>
          <w:sz w:val="21"/>
          <w:szCs w:val="21"/>
          <w:lang w:val="pt-BR"/>
        </w:rPr>
      </w:pPr>
      <w:r w:rsidRPr="00266751">
        <w:rPr>
          <w:sz w:val="21"/>
          <w:szCs w:val="21"/>
          <w:lang w:val="pt-BR"/>
        </w:rPr>
        <w:t>C</w:t>
      </w:r>
      <w:r w:rsidRPr="00266751">
        <w:rPr>
          <w:sz w:val="21"/>
          <w:szCs w:val="21"/>
          <w:vertAlign w:val="subscript"/>
          <w:lang w:val="pt-BR"/>
        </w:rPr>
        <w:t>6</w:t>
      </w:r>
      <w:r w:rsidRPr="00266751">
        <w:rPr>
          <w:sz w:val="21"/>
          <w:szCs w:val="21"/>
          <w:lang w:val="pt-BR"/>
        </w:rPr>
        <w:t>H</w:t>
      </w:r>
      <w:r w:rsidRPr="00266751">
        <w:rPr>
          <w:sz w:val="21"/>
          <w:szCs w:val="21"/>
          <w:vertAlign w:val="subscript"/>
          <w:lang w:val="pt-BR"/>
        </w:rPr>
        <w:t>8</w:t>
      </w:r>
      <w:r w:rsidRPr="00266751">
        <w:rPr>
          <w:sz w:val="21"/>
          <w:szCs w:val="21"/>
          <w:lang w:val="pt-BR"/>
        </w:rPr>
        <w:t>(OH)</w:t>
      </w:r>
      <w:r w:rsidRPr="00266751">
        <w:rPr>
          <w:sz w:val="21"/>
          <w:szCs w:val="21"/>
          <w:vertAlign w:val="subscript"/>
          <w:lang w:val="pt-BR"/>
        </w:rPr>
        <w:t>6</w:t>
      </w:r>
      <w:r w:rsidRPr="00266751">
        <w:rPr>
          <w:sz w:val="21"/>
          <w:szCs w:val="21"/>
          <w:lang w:val="pt-BR"/>
        </w:rPr>
        <w:t xml:space="preserve"> + H</w:t>
      </w:r>
      <w:r w:rsidRPr="00266751">
        <w:rPr>
          <w:sz w:val="21"/>
          <w:szCs w:val="21"/>
          <w:vertAlign w:val="subscript"/>
          <w:lang w:val="pt-BR"/>
        </w:rPr>
        <w:t>3</w:t>
      </w:r>
      <w:r w:rsidRPr="00266751">
        <w:rPr>
          <w:sz w:val="21"/>
          <w:szCs w:val="21"/>
          <w:lang w:val="pt-BR"/>
        </w:rPr>
        <w:t>BO</w:t>
      </w:r>
      <w:r w:rsidRPr="00266751">
        <w:rPr>
          <w:sz w:val="21"/>
          <w:szCs w:val="21"/>
          <w:vertAlign w:val="subscript"/>
          <w:lang w:val="pt-BR"/>
        </w:rPr>
        <w:t>3</w:t>
      </w:r>
      <w:r w:rsidRPr="00266751">
        <w:rPr>
          <w:sz w:val="21"/>
          <w:szCs w:val="21"/>
          <w:lang w:val="pt-BR"/>
        </w:rPr>
        <w:t xml:space="preserve"> → C</w:t>
      </w:r>
      <w:r w:rsidRPr="00266751">
        <w:rPr>
          <w:sz w:val="21"/>
          <w:szCs w:val="21"/>
          <w:vertAlign w:val="subscript"/>
          <w:lang w:val="pt-BR"/>
        </w:rPr>
        <w:t>6</w:t>
      </w:r>
      <w:r w:rsidRPr="00266751">
        <w:rPr>
          <w:sz w:val="21"/>
          <w:szCs w:val="21"/>
          <w:lang w:val="pt-BR"/>
        </w:rPr>
        <w:t>H</w:t>
      </w:r>
      <w:r w:rsidRPr="00266751">
        <w:rPr>
          <w:sz w:val="21"/>
          <w:szCs w:val="21"/>
          <w:vertAlign w:val="subscript"/>
          <w:lang w:val="pt-BR"/>
        </w:rPr>
        <w:t>8</w:t>
      </w:r>
      <w:r w:rsidRPr="00266751">
        <w:rPr>
          <w:sz w:val="21"/>
          <w:szCs w:val="21"/>
          <w:lang w:val="pt-BR"/>
        </w:rPr>
        <w:t>(OH)</w:t>
      </w:r>
      <w:r w:rsidRPr="00266751">
        <w:rPr>
          <w:sz w:val="21"/>
          <w:szCs w:val="21"/>
          <w:vertAlign w:val="subscript"/>
          <w:lang w:val="pt-BR"/>
        </w:rPr>
        <w:t>4</w:t>
      </w:r>
      <w:r w:rsidRPr="00266751">
        <w:rPr>
          <w:sz w:val="21"/>
          <w:szCs w:val="21"/>
          <w:lang w:val="pt-BR"/>
        </w:rPr>
        <w:t xml:space="preserve"> ·HBO</w:t>
      </w:r>
      <w:r w:rsidRPr="00266751">
        <w:rPr>
          <w:sz w:val="21"/>
          <w:szCs w:val="21"/>
          <w:vertAlign w:val="subscript"/>
          <w:lang w:val="pt-BR"/>
        </w:rPr>
        <w:t>3</w:t>
      </w:r>
      <w:r w:rsidRPr="00266751">
        <w:rPr>
          <w:sz w:val="21"/>
          <w:szCs w:val="21"/>
          <w:lang w:val="pt-BR"/>
        </w:rPr>
        <w:t xml:space="preserve"> + 2H</w:t>
      </w:r>
      <w:r w:rsidRPr="00266751">
        <w:rPr>
          <w:sz w:val="21"/>
          <w:szCs w:val="21"/>
          <w:vertAlign w:val="subscript"/>
          <w:lang w:val="pt-BR"/>
        </w:rPr>
        <w:t>2</w:t>
      </w:r>
      <w:r w:rsidRPr="00266751">
        <w:rPr>
          <w:sz w:val="21"/>
          <w:szCs w:val="21"/>
          <w:lang w:val="pt-BR"/>
        </w:rPr>
        <w:t>O</w:t>
      </w:r>
    </w:p>
    <w:p w14:paraId="3ED90175" w14:textId="77777777" w:rsidR="004938CB" w:rsidRPr="00C72270" w:rsidRDefault="004938CB" w:rsidP="00C72270">
      <w:pPr>
        <w:ind w:firstLineChars="81" w:firstLine="170"/>
        <w:jc w:val="center"/>
        <w:textAlignment w:val="baseline"/>
        <w:rPr>
          <w:rFonts w:hint="eastAsia"/>
          <w:sz w:val="21"/>
          <w:szCs w:val="21"/>
          <w:lang w:val="pt-BR"/>
        </w:rPr>
      </w:pPr>
      <w:r w:rsidRPr="00266751">
        <w:rPr>
          <w:sz w:val="21"/>
          <w:szCs w:val="21"/>
          <w:lang w:val="pt-BR"/>
        </w:rPr>
        <w:t>C</w:t>
      </w:r>
      <w:r w:rsidRPr="00266751">
        <w:rPr>
          <w:sz w:val="21"/>
          <w:szCs w:val="21"/>
          <w:vertAlign w:val="subscript"/>
          <w:lang w:val="pt-BR"/>
        </w:rPr>
        <w:t>6</w:t>
      </w:r>
      <w:r w:rsidRPr="00266751">
        <w:rPr>
          <w:sz w:val="21"/>
          <w:szCs w:val="21"/>
          <w:lang w:val="pt-BR"/>
        </w:rPr>
        <w:t>H</w:t>
      </w:r>
      <w:r w:rsidRPr="00266751">
        <w:rPr>
          <w:sz w:val="21"/>
          <w:szCs w:val="21"/>
          <w:vertAlign w:val="subscript"/>
          <w:lang w:val="pt-BR"/>
        </w:rPr>
        <w:t>8</w:t>
      </w:r>
      <w:r w:rsidRPr="00266751">
        <w:rPr>
          <w:sz w:val="21"/>
          <w:szCs w:val="21"/>
          <w:lang w:val="pt-BR"/>
        </w:rPr>
        <w:t>(OH)</w:t>
      </w:r>
      <w:r w:rsidRPr="00266751">
        <w:rPr>
          <w:sz w:val="21"/>
          <w:szCs w:val="21"/>
          <w:vertAlign w:val="subscript"/>
          <w:lang w:val="pt-BR"/>
        </w:rPr>
        <w:t>4</w:t>
      </w:r>
      <w:r w:rsidRPr="00266751">
        <w:rPr>
          <w:sz w:val="21"/>
          <w:szCs w:val="21"/>
          <w:lang w:val="pt-BR"/>
        </w:rPr>
        <w:t xml:space="preserve"> ·HBO</w:t>
      </w:r>
      <w:r w:rsidRPr="00266751">
        <w:rPr>
          <w:sz w:val="21"/>
          <w:szCs w:val="21"/>
          <w:vertAlign w:val="subscript"/>
          <w:lang w:val="pt-BR"/>
        </w:rPr>
        <w:t>3</w:t>
      </w:r>
      <w:r w:rsidRPr="00266751">
        <w:rPr>
          <w:sz w:val="21"/>
          <w:szCs w:val="21"/>
          <w:lang w:val="pt-BR"/>
        </w:rPr>
        <w:t xml:space="preserve"> + NaOH  → C</w:t>
      </w:r>
      <w:r w:rsidRPr="00266751">
        <w:rPr>
          <w:sz w:val="21"/>
          <w:szCs w:val="21"/>
          <w:vertAlign w:val="subscript"/>
          <w:lang w:val="pt-BR"/>
        </w:rPr>
        <w:t>6</w:t>
      </w:r>
      <w:r w:rsidRPr="00266751">
        <w:rPr>
          <w:sz w:val="21"/>
          <w:szCs w:val="21"/>
          <w:lang w:val="pt-BR"/>
        </w:rPr>
        <w:t>H</w:t>
      </w:r>
      <w:r w:rsidRPr="00266751">
        <w:rPr>
          <w:sz w:val="21"/>
          <w:szCs w:val="21"/>
          <w:vertAlign w:val="subscript"/>
          <w:lang w:val="pt-BR"/>
        </w:rPr>
        <w:t>8</w:t>
      </w:r>
      <w:r w:rsidRPr="00266751">
        <w:rPr>
          <w:sz w:val="21"/>
          <w:szCs w:val="21"/>
          <w:lang w:val="pt-BR"/>
        </w:rPr>
        <w:t>(OH)</w:t>
      </w:r>
      <w:r w:rsidRPr="00266751">
        <w:rPr>
          <w:sz w:val="21"/>
          <w:szCs w:val="21"/>
          <w:vertAlign w:val="subscript"/>
          <w:lang w:val="pt-BR"/>
        </w:rPr>
        <w:t>4</w:t>
      </w:r>
      <w:r w:rsidRPr="00266751">
        <w:rPr>
          <w:sz w:val="21"/>
          <w:szCs w:val="21"/>
          <w:lang w:val="pt-BR"/>
        </w:rPr>
        <w:t xml:space="preserve"> ·NaBO</w:t>
      </w:r>
      <w:r w:rsidRPr="00266751">
        <w:rPr>
          <w:sz w:val="21"/>
          <w:szCs w:val="21"/>
          <w:vertAlign w:val="subscript"/>
          <w:lang w:val="pt-BR"/>
        </w:rPr>
        <w:t>3</w:t>
      </w:r>
      <w:r w:rsidRPr="00266751">
        <w:rPr>
          <w:sz w:val="21"/>
          <w:szCs w:val="21"/>
          <w:lang w:val="pt-BR"/>
        </w:rPr>
        <w:t xml:space="preserve"> + H</w:t>
      </w:r>
      <w:r w:rsidRPr="00266751">
        <w:rPr>
          <w:sz w:val="21"/>
          <w:szCs w:val="21"/>
          <w:vertAlign w:val="subscript"/>
          <w:lang w:val="pt-BR"/>
        </w:rPr>
        <w:t>2</w:t>
      </w:r>
      <w:r w:rsidRPr="00266751">
        <w:rPr>
          <w:sz w:val="21"/>
          <w:szCs w:val="21"/>
          <w:lang w:val="pt-BR"/>
        </w:rPr>
        <w:t>O</w:t>
      </w:r>
    </w:p>
    <w:p w14:paraId="2619CCC2" w14:textId="77777777" w:rsidR="004938CB" w:rsidRPr="002806E2" w:rsidRDefault="004938CB" w:rsidP="002806E2">
      <w:pPr>
        <w:pStyle w:val="1"/>
        <w:autoSpaceDE w:val="0"/>
        <w:autoSpaceDN w:val="0"/>
        <w:spacing w:line="360" w:lineRule="auto"/>
        <w:ind w:firstLine="480"/>
        <w:textAlignment w:val="center"/>
        <w:rPr>
          <w:sz w:val="24"/>
        </w:rPr>
      </w:pPr>
      <w:r w:rsidRPr="002806E2">
        <w:rPr>
          <w:rFonts w:hint="eastAsia"/>
          <w:sz w:val="24"/>
        </w:rPr>
        <w:t>当加入的标准溶液</w:t>
      </w:r>
      <w:r w:rsidRPr="002806E2">
        <w:rPr>
          <w:rFonts w:hint="eastAsia"/>
          <w:sz w:val="24"/>
        </w:rPr>
        <w:t>NaOH</w:t>
      </w:r>
      <w:r w:rsidRPr="002806E2">
        <w:rPr>
          <w:rFonts w:hint="eastAsia"/>
          <w:sz w:val="24"/>
        </w:rPr>
        <w:t>与被测物质</w:t>
      </w:r>
      <w:r w:rsidRPr="002806E2">
        <w:rPr>
          <w:rFonts w:hint="eastAsia"/>
          <w:sz w:val="24"/>
        </w:rPr>
        <w:t>H</w:t>
      </w:r>
      <w:r w:rsidRPr="002806E2">
        <w:rPr>
          <w:rFonts w:hint="eastAsia"/>
          <w:sz w:val="24"/>
          <w:vertAlign w:val="subscript"/>
        </w:rPr>
        <w:t>3</w:t>
      </w:r>
      <w:r w:rsidRPr="002806E2">
        <w:rPr>
          <w:rFonts w:hint="eastAsia"/>
          <w:sz w:val="24"/>
        </w:rPr>
        <w:t>BO</w:t>
      </w:r>
      <w:r w:rsidRPr="002806E2">
        <w:rPr>
          <w:rFonts w:hint="eastAsia"/>
          <w:sz w:val="24"/>
          <w:vertAlign w:val="subscript"/>
        </w:rPr>
        <w:t>3</w:t>
      </w:r>
      <w:r w:rsidRPr="002806E2">
        <w:rPr>
          <w:rFonts w:hint="eastAsia"/>
          <w:sz w:val="24"/>
        </w:rPr>
        <w:t>反应完全时，反应达到等当点（或理论终点）。在酸碱滴定过程中，水样</w:t>
      </w:r>
      <w:r w:rsidRPr="002806E2">
        <w:rPr>
          <w:rFonts w:hint="eastAsia"/>
          <w:sz w:val="24"/>
        </w:rPr>
        <w:t>pH</w:t>
      </w:r>
      <w:r w:rsidRPr="002806E2">
        <w:rPr>
          <w:rFonts w:hint="eastAsia"/>
          <w:sz w:val="24"/>
        </w:rPr>
        <w:t>值随滴定剂加入体积增加而发生变化的状况可用滴定曲线来描述。滴定曲线可以通过计算，</w:t>
      </w:r>
      <w:r w:rsidRPr="002806E2">
        <w:rPr>
          <w:sz w:val="24"/>
        </w:rPr>
        <w:t xml:space="preserve"> </w:t>
      </w:r>
      <w:r w:rsidRPr="002806E2">
        <w:rPr>
          <w:rFonts w:hint="eastAsia"/>
          <w:sz w:val="24"/>
        </w:rPr>
        <w:t>也可通过实验求得。如图</w:t>
      </w:r>
      <w:r w:rsidRPr="002806E2">
        <w:rPr>
          <w:rFonts w:hint="eastAsia"/>
          <w:sz w:val="24"/>
        </w:rPr>
        <w:t>1</w:t>
      </w:r>
      <w:r w:rsidRPr="002806E2">
        <w:rPr>
          <w:rFonts w:hint="eastAsia"/>
          <w:sz w:val="24"/>
        </w:rPr>
        <w:t>所示为以</w:t>
      </w:r>
      <w:r w:rsidRPr="002806E2">
        <w:rPr>
          <w:rFonts w:hint="eastAsia"/>
          <w:sz w:val="24"/>
        </w:rPr>
        <w:t>0.1000 mol/L NaOH</w:t>
      </w:r>
      <w:r w:rsidRPr="002806E2">
        <w:rPr>
          <w:rFonts w:hint="eastAsia"/>
          <w:sz w:val="24"/>
        </w:rPr>
        <w:t>滴定</w:t>
      </w:r>
      <w:r w:rsidRPr="002806E2">
        <w:rPr>
          <w:rFonts w:hint="eastAsia"/>
          <w:sz w:val="24"/>
        </w:rPr>
        <w:t>0.1000mol/L HCL 20.00ml</w:t>
      </w:r>
      <w:r w:rsidRPr="002806E2">
        <w:rPr>
          <w:rFonts w:hint="eastAsia"/>
          <w:sz w:val="24"/>
        </w:rPr>
        <w:t>的滴定曲线。从曲线形状可以看出等当点</w:t>
      </w:r>
      <w:r w:rsidRPr="002806E2">
        <w:rPr>
          <w:rFonts w:hint="eastAsia"/>
          <w:sz w:val="24"/>
        </w:rPr>
        <w:t>pH</w:t>
      </w:r>
      <w:r w:rsidRPr="002806E2">
        <w:rPr>
          <w:rFonts w:hint="eastAsia"/>
          <w:sz w:val="24"/>
        </w:rPr>
        <w:t>＝</w:t>
      </w:r>
      <w:r w:rsidRPr="002806E2">
        <w:rPr>
          <w:rFonts w:hint="eastAsia"/>
          <w:sz w:val="24"/>
        </w:rPr>
        <w:t>7</w:t>
      </w:r>
      <w:r w:rsidRPr="002806E2">
        <w:rPr>
          <w:rFonts w:hint="eastAsia"/>
          <w:sz w:val="24"/>
        </w:rPr>
        <w:t>处存在一个“</w:t>
      </w:r>
      <w:r w:rsidRPr="002806E2">
        <w:rPr>
          <w:rFonts w:hint="eastAsia"/>
          <w:sz w:val="24"/>
        </w:rPr>
        <w:t>pH</w:t>
      </w:r>
      <w:r w:rsidRPr="002806E2">
        <w:rPr>
          <w:rFonts w:hint="eastAsia"/>
          <w:sz w:val="24"/>
        </w:rPr>
        <w:t>突越”，</w:t>
      </w:r>
      <w:r w:rsidRPr="002806E2">
        <w:rPr>
          <w:rFonts w:hint="eastAsia"/>
          <w:sz w:val="24"/>
        </w:rPr>
        <w:t>pH</w:t>
      </w:r>
      <w:proofErr w:type="gramStart"/>
      <w:r w:rsidRPr="002806E2">
        <w:rPr>
          <w:rFonts w:hint="eastAsia"/>
          <w:sz w:val="24"/>
        </w:rPr>
        <w:t>突越范围</w:t>
      </w:r>
      <w:proofErr w:type="gramEnd"/>
      <w:r w:rsidRPr="002806E2">
        <w:rPr>
          <w:rFonts w:hint="eastAsia"/>
          <w:sz w:val="24"/>
        </w:rPr>
        <w:t>大小与被滴定酸的强度和浓度有关。</w:t>
      </w:r>
    </w:p>
    <w:p w14:paraId="46D0ED7E" w14:textId="77777777" w:rsidR="004938CB" w:rsidRPr="00065023" w:rsidRDefault="004938CB" w:rsidP="004938CB">
      <w:pPr>
        <w:pStyle w:val="1"/>
        <w:autoSpaceDE w:val="0"/>
        <w:autoSpaceDN w:val="0"/>
        <w:spacing w:line="360" w:lineRule="auto"/>
        <w:jc w:val="center"/>
        <w:textAlignment w:val="center"/>
      </w:pPr>
      <w:r w:rsidRPr="00065023">
        <w:rPr>
          <w:noProof/>
        </w:rPr>
        <w:drawing>
          <wp:inline distT="0" distB="0" distL="0" distR="0" wp14:anchorId="7FDA4392" wp14:editId="735F47D3">
            <wp:extent cx="1952625" cy="1552575"/>
            <wp:effectExtent l="1905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srcRect/>
                    <a:stretch>
                      <a:fillRect/>
                    </a:stretch>
                  </pic:blipFill>
                  <pic:spPr bwMode="auto">
                    <a:xfrm>
                      <a:off x="0" y="0"/>
                      <a:ext cx="1952625" cy="1552575"/>
                    </a:xfrm>
                    <a:prstGeom prst="rect">
                      <a:avLst/>
                    </a:prstGeom>
                    <a:noFill/>
                  </pic:spPr>
                </pic:pic>
              </a:graphicData>
            </a:graphic>
          </wp:inline>
        </w:drawing>
      </w:r>
    </w:p>
    <w:p w14:paraId="5833CB65" w14:textId="77777777" w:rsidR="004938CB" w:rsidRDefault="004938CB" w:rsidP="002806E2">
      <w:pPr>
        <w:pStyle w:val="1"/>
        <w:autoSpaceDE w:val="0"/>
        <w:autoSpaceDN w:val="0"/>
        <w:spacing w:line="360" w:lineRule="auto"/>
        <w:jc w:val="center"/>
        <w:textAlignment w:val="center"/>
      </w:pPr>
      <w:r w:rsidRPr="00065023">
        <w:rPr>
          <w:rFonts w:hint="eastAsia"/>
        </w:rPr>
        <w:t>图</w:t>
      </w:r>
      <w:r w:rsidRPr="00065023">
        <w:rPr>
          <w:rFonts w:hint="eastAsia"/>
        </w:rPr>
        <w:t xml:space="preserve">1 0.1000mol/L NaOH </w:t>
      </w:r>
      <w:r w:rsidRPr="00065023">
        <w:rPr>
          <w:rFonts w:hint="eastAsia"/>
        </w:rPr>
        <w:t>滴定</w:t>
      </w:r>
      <w:r w:rsidRPr="00065023">
        <w:rPr>
          <w:rFonts w:hint="eastAsia"/>
        </w:rPr>
        <w:t>0.1000mol/L HCL 20.00ml</w:t>
      </w:r>
      <w:r w:rsidRPr="00065023">
        <w:rPr>
          <w:rFonts w:hint="eastAsia"/>
        </w:rPr>
        <w:t>的滴定曲线</w:t>
      </w:r>
    </w:p>
    <w:p w14:paraId="560ECC9D" w14:textId="77777777" w:rsidR="00E650CE" w:rsidRPr="002806E2" w:rsidRDefault="004938CB" w:rsidP="004938CB">
      <w:pPr>
        <w:pStyle w:val="1"/>
        <w:autoSpaceDE w:val="0"/>
        <w:autoSpaceDN w:val="0"/>
        <w:spacing w:line="360" w:lineRule="auto"/>
        <w:ind w:firstLine="480"/>
        <w:textAlignment w:val="center"/>
        <w:rPr>
          <w:sz w:val="24"/>
        </w:rPr>
      </w:pPr>
      <w:r w:rsidRPr="002806E2">
        <w:rPr>
          <w:rFonts w:hint="eastAsia"/>
          <w:sz w:val="24"/>
        </w:rPr>
        <w:t>上海核工院自主开发了滴定法</w:t>
      </w:r>
      <w:r w:rsidRPr="002806E2">
        <w:rPr>
          <w:sz w:val="24"/>
        </w:rPr>
        <w:t>测定</w:t>
      </w:r>
      <w:r w:rsidRPr="002806E2">
        <w:rPr>
          <w:rFonts w:hint="eastAsia"/>
          <w:sz w:val="24"/>
        </w:rPr>
        <w:t>核电厂一回路冷却剂硼酸测定</w:t>
      </w:r>
      <w:r w:rsidRPr="002806E2">
        <w:rPr>
          <w:sz w:val="24"/>
        </w:rPr>
        <w:t>的方法，经验证表明，</w:t>
      </w:r>
      <w:r w:rsidRPr="002806E2">
        <w:rPr>
          <w:rFonts w:hint="eastAsia"/>
          <w:sz w:val="24"/>
        </w:rPr>
        <w:t>滴定法</w:t>
      </w:r>
      <w:r w:rsidRPr="002806E2">
        <w:rPr>
          <w:sz w:val="24"/>
        </w:rPr>
        <w:t>在最低检测限满足化学监督要求的前提下，分析效率</w:t>
      </w:r>
      <w:r w:rsidRPr="002806E2">
        <w:rPr>
          <w:rFonts w:hint="eastAsia"/>
          <w:sz w:val="24"/>
        </w:rPr>
        <w:t>较高</w:t>
      </w:r>
      <w:r w:rsidRPr="002806E2">
        <w:rPr>
          <w:sz w:val="24"/>
        </w:rPr>
        <w:t>，可</w:t>
      </w:r>
      <w:r w:rsidRPr="002806E2">
        <w:rPr>
          <w:rFonts w:hint="eastAsia"/>
          <w:sz w:val="24"/>
        </w:rPr>
        <w:t>准确测量一回路冷却剂硼酸</w:t>
      </w:r>
      <w:r w:rsidRPr="002806E2">
        <w:rPr>
          <w:sz w:val="24"/>
        </w:rPr>
        <w:t>的含量。因此，将</w:t>
      </w:r>
      <w:r w:rsidRPr="002806E2">
        <w:rPr>
          <w:rFonts w:hint="eastAsia"/>
          <w:sz w:val="24"/>
        </w:rPr>
        <w:t>滴定法</w:t>
      </w:r>
      <w:r w:rsidRPr="002806E2">
        <w:rPr>
          <w:sz w:val="24"/>
        </w:rPr>
        <w:t>作为测定</w:t>
      </w:r>
      <w:r w:rsidRPr="002806E2">
        <w:rPr>
          <w:rFonts w:hint="eastAsia"/>
          <w:sz w:val="24"/>
        </w:rPr>
        <w:t>一回路冷却剂中硼酸的标准测定方法值得推广。</w:t>
      </w:r>
    </w:p>
    <w:p w14:paraId="10CC8498" w14:textId="77777777" w:rsidR="00E650CE" w:rsidRDefault="004938CB">
      <w:pPr>
        <w:outlineLvl w:val="0"/>
        <w:rPr>
          <w:rFonts w:hint="eastAsia"/>
          <w:b/>
          <w:sz w:val="28"/>
          <w:szCs w:val="28"/>
        </w:rPr>
      </w:pPr>
      <w:r>
        <w:rPr>
          <w:rFonts w:hint="eastAsia"/>
          <w:b/>
          <w:sz w:val="28"/>
          <w:szCs w:val="28"/>
        </w:rPr>
        <w:t>三、主要试验（或验证）情况</w:t>
      </w:r>
    </w:p>
    <w:p w14:paraId="110781BB" w14:textId="77777777" w:rsidR="00E650CE" w:rsidRDefault="004938CB">
      <w:pPr>
        <w:pStyle w:val="1"/>
        <w:autoSpaceDE w:val="0"/>
        <w:autoSpaceDN w:val="0"/>
        <w:spacing w:line="360" w:lineRule="auto"/>
        <w:textAlignment w:val="center"/>
      </w:pPr>
      <w:r>
        <w:t>本</w:t>
      </w:r>
      <w:r>
        <w:rPr>
          <w:rFonts w:hint="eastAsia"/>
        </w:rPr>
        <w:t>标准</w:t>
      </w:r>
      <w:r>
        <w:t>方法开发的技术路线如图</w:t>
      </w:r>
      <w:r>
        <w:t>1</w:t>
      </w:r>
      <w:r>
        <w:t>所示：</w:t>
      </w:r>
    </w:p>
    <w:p w14:paraId="6808937C" w14:textId="373C6C9C" w:rsidR="0063022D" w:rsidRDefault="00DD1506">
      <w:pPr>
        <w:pStyle w:val="1"/>
        <w:autoSpaceDE w:val="0"/>
        <w:autoSpaceDN w:val="0"/>
        <w:spacing w:line="360" w:lineRule="auto"/>
        <w:textAlignment w:val="center"/>
        <w:rPr>
          <w:highlight w:val="yellow"/>
        </w:rPr>
      </w:pPr>
      <w:r>
        <w:rPr>
          <w:noProof/>
        </w:rPr>
        <w:lastRenderedPageBreak/>
        <mc:AlternateContent>
          <mc:Choice Requires="wpg">
            <w:drawing>
              <wp:anchor distT="0" distB="0" distL="114300" distR="114300" simplePos="0" relativeHeight="251658240" behindDoc="0" locked="0" layoutInCell="1" allowOverlap="1" wp14:anchorId="2953595F" wp14:editId="409BE211">
                <wp:simplePos x="0" y="0"/>
                <wp:positionH relativeFrom="margin">
                  <wp:posOffset>82550</wp:posOffset>
                </wp:positionH>
                <wp:positionV relativeFrom="paragraph">
                  <wp:posOffset>332105</wp:posOffset>
                </wp:positionV>
                <wp:extent cx="5069840" cy="2752725"/>
                <wp:effectExtent l="6350" t="8255" r="10160" b="10795"/>
                <wp:wrapSquare wrapText="bothSides"/>
                <wp:docPr id="1670789730" name="组合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9840" cy="2752725"/>
                          <a:chOff x="0" y="0"/>
                          <a:chExt cx="57501" cy="35784"/>
                        </a:xfrm>
                      </wpg:grpSpPr>
                      <wps:wsp>
                        <wps:cNvPr id="1230494129" name="矩形: 圆角 50"/>
                        <wps:cNvSpPr>
                          <a:spLocks noChangeArrowheads="1"/>
                        </wps:cNvSpPr>
                        <wps:spPr bwMode="auto">
                          <a:xfrm>
                            <a:off x="0" y="5627"/>
                            <a:ext cx="57501" cy="30157"/>
                          </a:xfrm>
                          <a:prstGeom prst="roundRect">
                            <a:avLst>
                              <a:gd name="adj" fmla="val 16667"/>
                            </a:avLst>
                          </a:prstGeom>
                          <a:gradFill rotWithShape="1">
                            <a:gsLst>
                              <a:gs pos="0">
                                <a:srgbClr val="FFFF80"/>
                              </a:gs>
                              <a:gs pos="50000">
                                <a:srgbClr val="FFFFB3"/>
                              </a:gs>
                              <a:gs pos="100000">
                                <a:srgbClr val="FFFFDA"/>
                              </a:gs>
                            </a:gsLst>
                            <a:lin ang="0" scaled="1"/>
                          </a:gradFill>
                          <a:ln w="12700">
                            <a:solidFill>
                              <a:srgbClr val="FFFF00"/>
                            </a:solidFill>
                            <a:miter lim="800000"/>
                            <a:headEnd/>
                            <a:tailEnd/>
                          </a:ln>
                        </wps:spPr>
                        <wps:bodyPr rot="0" vert="horz" wrap="square" lIns="91440" tIns="45720" rIns="91440" bIns="45720" anchor="ctr" anchorCtr="0" upright="1">
                          <a:noAutofit/>
                        </wps:bodyPr>
                      </wps:wsp>
                      <wps:wsp>
                        <wps:cNvPr id="1185619925" name="矩形: 圆角 51"/>
                        <wps:cNvSpPr>
                          <a:spLocks noChangeArrowheads="1"/>
                        </wps:cNvSpPr>
                        <wps:spPr bwMode="auto">
                          <a:xfrm>
                            <a:off x="8865" y="0"/>
                            <a:ext cx="39653" cy="4572"/>
                          </a:xfrm>
                          <a:prstGeom prst="roundRect">
                            <a:avLst>
                              <a:gd name="adj" fmla="val 16667"/>
                            </a:avLst>
                          </a:prstGeom>
                          <a:solidFill>
                            <a:srgbClr val="00B0F0"/>
                          </a:solidFill>
                          <a:ln w="12700">
                            <a:solidFill>
                              <a:srgbClr val="1F3763"/>
                            </a:solidFill>
                            <a:miter lim="800000"/>
                            <a:headEnd/>
                            <a:tailEnd/>
                          </a:ln>
                        </wps:spPr>
                        <wps:txbx>
                          <w:txbxContent>
                            <w:p w14:paraId="1720B706"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一回路冷却剂硼酸测量方法的开发</w:t>
                              </w:r>
                            </w:p>
                          </w:txbxContent>
                        </wps:txbx>
                        <wps:bodyPr rot="0" vert="horz" wrap="square" lIns="91440" tIns="45720" rIns="91440" bIns="45720" anchor="ctr" anchorCtr="0" upright="1">
                          <a:noAutofit/>
                        </wps:bodyPr>
                      </wps:wsp>
                      <wps:wsp>
                        <wps:cNvPr id="1658615049" name="矩形: 圆角 52"/>
                        <wps:cNvSpPr>
                          <a:spLocks noChangeArrowheads="1"/>
                        </wps:cNvSpPr>
                        <wps:spPr bwMode="auto">
                          <a:xfrm>
                            <a:off x="18925" y="6857"/>
                            <a:ext cx="20024" cy="5188"/>
                          </a:xfrm>
                          <a:prstGeom prst="roundRect">
                            <a:avLst>
                              <a:gd name="adj" fmla="val 16667"/>
                            </a:avLst>
                          </a:prstGeom>
                          <a:solidFill>
                            <a:srgbClr val="FFC000"/>
                          </a:solidFill>
                          <a:ln w="12700">
                            <a:solidFill>
                              <a:srgbClr val="1F3763"/>
                            </a:solidFill>
                            <a:miter lim="800000"/>
                            <a:headEnd/>
                            <a:tailEnd/>
                          </a:ln>
                        </wps:spPr>
                        <wps:txbx>
                          <w:txbxContent>
                            <w:p w14:paraId="4EF2E78B"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滴定参数试验</w:t>
                              </w:r>
                            </w:p>
                          </w:txbxContent>
                        </wps:txbx>
                        <wps:bodyPr rot="0" vert="horz" wrap="square" lIns="91440" tIns="45720" rIns="91440" bIns="45720" anchor="ctr" anchorCtr="0" upright="1">
                          <a:noAutofit/>
                        </wps:bodyPr>
                      </wps:wsp>
                      <wps:wsp>
                        <wps:cNvPr id="318091508" name="矩形: 圆角 54"/>
                        <wps:cNvSpPr>
                          <a:spLocks noChangeArrowheads="1"/>
                        </wps:cNvSpPr>
                        <wps:spPr bwMode="auto">
                          <a:xfrm>
                            <a:off x="7929" y="13364"/>
                            <a:ext cx="15398" cy="5184"/>
                          </a:xfrm>
                          <a:prstGeom prst="roundRect">
                            <a:avLst>
                              <a:gd name="adj" fmla="val 16667"/>
                            </a:avLst>
                          </a:prstGeom>
                          <a:solidFill>
                            <a:srgbClr val="00B050"/>
                          </a:solidFill>
                          <a:ln w="12700">
                            <a:solidFill>
                              <a:srgbClr val="1F3763"/>
                            </a:solidFill>
                            <a:miter lim="800000"/>
                            <a:headEnd/>
                            <a:tailEnd/>
                          </a:ln>
                        </wps:spPr>
                        <wps:txbx>
                          <w:txbxContent>
                            <w:p w14:paraId="22E4AD77"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滴定剂浓度试验</w:t>
                              </w:r>
                            </w:p>
                          </w:txbxContent>
                        </wps:txbx>
                        <wps:bodyPr rot="0" vert="horz" wrap="square" lIns="91440" tIns="45720" rIns="91440" bIns="45720" anchor="ctr" anchorCtr="0" upright="1">
                          <a:noAutofit/>
                        </wps:bodyPr>
                      </wps:wsp>
                      <wps:wsp>
                        <wps:cNvPr id="319792462" name="矩形: 圆角 55"/>
                        <wps:cNvSpPr>
                          <a:spLocks noChangeArrowheads="1"/>
                        </wps:cNvSpPr>
                        <wps:spPr bwMode="auto">
                          <a:xfrm>
                            <a:off x="18925" y="20134"/>
                            <a:ext cx="20024" cy="5188"/>
                          </a:xfrm>
                          <a:prstGeom prst="roundRect">
                            <a:avLst>
                              <a:gd name="adj" fmla="val 16667"/>
                            </a:avLst>
                          </a:prstGeom>
                          <a:solidFill>
                            <a:srgbClr val="FFC000"/>
                          </a:solidFill>
                          <a:ln w="12700">
                            <a:solidFill>
                              <a:srgbClr val="1F3763"/>
                            </a:solidFill>
                            <a:miter lim="800000"/>
                            <a:headEnd/>
                            <a:tailEnd/>
                          </a:ln>
                        </wps:spPr>
                        <wps:txbx>
                          <w:txbxContent>
                            <w:p w14:paraId="4BBF56E3"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整体方法试验</w:t>
                              </w:r>
                            </w:p>
                          </w:txbxContent>
                        </wps:txbx>
                        <wps:bodyPr rot="0" vert="horz" wrap="square" lIns="91440" tIns="45720" rIns="91440" bIns="45720" anchor="ctr" anchorCtr="0" upright="1">
                          <a:noAutofit/>
                        </wps:bodyPr>
                      </wps:wsp>
                      <wps:wsp>
                        <wps:cNvPr id="1801098681" name="矩形: 圆角 57"/>
                        <wps:cNvSpPr>
                          <a:spLocks noChangeArrowheads="1"/>
                        </wps:cNvSpPr>
                        <wps:spPr bwMode="auto">
                          <a:xfrm>
                            <a:off x="33994" y="13364"/>
                            <a:ext cx="15398" cy="5184"/>
                          </a:xfrm>
                          <a:prstGeom prst="roundRect">
                            <a:avLst>
                              <a:gd name="adj" fmla="val 16667"/>
                            </a:avLst>
                          </a:prstGeom>
                          <a:solidFill>
                            <a:srgbClr val="00B050"/>
                          </a:solidFill>
                          <a:ln w="12700">
                            <a:solidFill>
                              <a:srgbClr val="1F3763"/>
                            </a:solidFill>
                            <a:miter lim="800000"/>
                            <a:headEnd/>
                            <a:tailEnd/>
                          </a:ln>
                        </wps:spPr>
                        <wps:txbx>
                          <w:txbxContent>
                            <w:p w14:paraId="584F910A"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取样体积试验</w:t>
                              </w:r>
                            </w:p>
                          </w:txbxContent>
                        </wps:txbx>
                        <wps:bodyPr rot="0" vert="horz" wrap="square" lIns="91440" tIns="45720" rIns="91440" bIns="45720" anchor="ctr" anchorCtr="0" upright="1">
                          <a:noAutofit/>
                        </wps:bodyPr>
                      </wps:wsp>
                      <wps:wsp>
                        <wps:cNvPr id="2020519208" name="矩形: 圆角 58"/>
                        <wps:cNvSpPr>
                          <a:spLocks noChangeArrowheads="1"/>
                        </wps:cNvSpPr>
                        <wps:spPr bwMode="auto">
                          <a:xfrm>
                            <a:off x="34253" y="26861"/>
                            <a:ext cx="15664" cy="5184"/>
                          </a:xfrm>
                          <a:prstGeom prst="roundRect">
                            <a:avLst>
                              <a:gd name="adj" fmla="val 16667"/>
                            </a:avLst>
                          </a:prstGeom>
                          <a:solidFill>
                            <a:srgbClr val="00B050"/>
                          </a:solidFill>
                          <a:ln w="12700">
                            <a:solidFill>
                              <a:srgbClr val="1F3763"/>
                            </a:solidFill>
                            <a:miter lim="800000"/>
                            <a:headEnd/>
                            <a:tailEnd/>
                          </a:ln>
                        </wps:spPr>
                        <wps:txbx>
                          <w:txbxContent>
                            <w:p w14:paraId="53A3E68B"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重复性试验</w:t>
                              </w:r>
                            </w:p>
                          </w:txbxContent>
                        </wps:txbx>
                        <wps:bodyPr rot="0" vert="horz" wrap="square" lIns="91440" tIns="45720" rIns="91440" bIns="45720" anchor="ctr" anchorCtr="0" upright="1">
                          <a:noAutofit/>
                        </wps:bodyPr>
                      </wps:wsp>
                      <wps:wsp>
                        <wps:cNvPr id="2015126587" name="连接符: 肘形 59"/>
                        <wps:cNvCnPr>
                          <a:cxnSpLocks noChangeShapeType="1"/>
                        </wps:cNvCnPr>
                        <wps:spPr bwMode="auto">
                          <a:xfrm rot="5400000" flipH="1" flipV="1">
                            <a:off x="28618" y="-2797"/>
                            <a:ext cx="127" cy="32322"/>
                          </a:xfrm>
                          <a:prstGeom prst="bentConnector3">
                            <a:avLst>
                              <a:gd name="adj1" fmla="val 48461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56569948" name="连接符: 肘形 61"/>
                        <wps:cNvCnPr>
                          <a:cxnSpLocks noChangeShapeType="1"/>
                        </wps:cNvCnPr>
                        <wps:spPr bwMode="auto">
                          <a:xfrm rot="16200000" flipH="1">
                            <a:off x="28618" y="2391"/>
                            <a:ext cx="127" cy="32322"/>
                          </a:xfrm>
                          <a:prstGeom prst="bentConnector3">
                            <a:avLst>
                              <a:gd name="adj1" fmla="val 761542"/>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6859796" name="直接连接符 62"/>
                        <wps:cNvCnPr>
                          <a:cxnSpLocks noChangeShapeType="1"/>
                        </wps:cNvCnPr>
                        <wps:spPr bwMode="auto">
                          <a:xfrm>
                            <a:off x="28707" y="19423"/>
                            <a:ext cx="7" cy="71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741639919" name="矩形: 圆角 63"/>
                        <wps:cNvSpPr>
                          <a:spLocks noChangeArrowheads="1"/>
                        </wps:cNvSpPr>
                        <wps:spPr bwMode="auto">
                          <a:xfrm>
                            <a:off x="8109" y="27108"/>
                            <a:ext cx="15672" cy="5192"/>
                          </a:xfrm>
                          <a:prstGeom prst="roundRect">
                            <a:avLst>
                              <a:gd name="adj" fmla="val 16667"/>
                            </a:avLst>
                          </a:prstGeom>
                          <a:solidFill>
                            <a:srgbClr val="00B050"/>
                          </a:solidFill>
                          <a:ln w="12700">
                            <a:solidFill>
                              <a:srgbClr val="1F3763"/>
                            </a:solidFill>
                            <a:miter lim="800000"/>
                            <a:headEnd/>
                            <a:tailEnd/>
                          </a:ln>
                        </wps:spPr>
                        <wps:txbx>
                          <w:txbxContent>
                            <w:p w14:paraId="3D0EFC42"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定量限试验</w:t>
                              </w:r>
                            </w:p>
                          </w:txbxContent>
                        </wps:txbx>
                        <wps:bodyPr rot="0" vert="horz" wrap="square" lIns="91440" tIns="45720" rIns="91440" bIns="45720" anchor="ctr" anchorCtr="0" upright="1">
                          <a:noAutofit/>
                        </wps:bodyPr>
                      </wps:wsp>
                      <wps:wsp>
                        <wps:cNvPr id="1296137204" name="连接符: 肘形 64"/>
                        <wps:cNvCnPr>
                          <a:cxnSpLocks noChangeShapeType="1"/>
                        </wps:cNvCnPr>
                        <wps:spPr bwMode="auto">
                          <a:xfrm rot="5400000" flipH="1" flipV="1">
                            <a:off x="28811" y="10192"/>
                            <a:ext cx="253" cy="33587"/>
                          </a:xfrm>
                          <a:prstGeom prst="bentConnector3">
                            <a:avLst>
                              <a:gd name="adj1" fmla="val 41361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663897689" name="直接连接符 65"/>
                        <wps:cNvCnPr>
                          <a:cxnSpLocks noChangeShapeType="1"/>
                        </wps:cNvCnPr>
                        <wps:spPr bwMode="auto">
                          <a:xfrm>
                            <a:off x="28434" y="25276"/>
                            <a:ext cx="29" cy="858"/>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953595F" id="组合 39" o:spid="_x0000_s1026" style="position:absolute;left:0;text-align:left;margin-left:6.5pt;margin-top:26.15pt;width:399.2pt;height:216.75pt;z-index:251658240;mso-position-horizontal-relative:margin" coordsize="57501,35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iZkYQYAAJImAAAOAAAAZHJzL2Uyb0RvYy54bWzsWkuv20QU3iPxH0bet/H4MX6ouVV7SwpS&#10;gYoWWE9sJzHYHjP2vcllyYIlC1ZIIJCQACGxZIv4NaX9GZw540ec3Kjt5SZcQbKI/JrxmXO+77zG&#10;d+6u8oycJ7JKRTE26G3TIEkRiTgt5mPjw6eTW75BqpoXMc9EkYyNi6Qy7p68+cadZRkmlliILE4k&#10;gUmKKlyWY2NR12U4GlXRIsl5dVuUSQE3Z0LmvIZTOR/Fki9h9jwbWabJRksh41KKKKkquPpA3zRO&#10;cP7ZLInq92ezKqlJNjZAthr/Jf5P1f/o5A4P55KXizRqxOBXkCLnaQEv7aZ6wGtOzmS6NVWeRlJU&#10;YlbfjkQ+ErNZGiW4BlgNNTdW81CKsxLXMg+X87JTE6h2Q09XnjZ67/yhLJ+Uj6WWHg4fiejTCvQy&#10;WpbzcP2+Op/rh8l0+a6IwZ78rBa48NVM5moKWBJZoX4vOv0mq5pEcNE1WeA7YIYI7lmea3mWqy0Q&#10;LcBMW+OixVvtSM81qR5nu57vqFEjHuqXoqCNYMrwgKSqV1b1z5T1ZMHLBG1QKWU8liSNAeiWbTqB&#10;Q63AIAXPQRHPf/j12R8/huTZd1+++OVr4iK0lCwwqFVvpXVLCnG64MU8uSelWC4SHoOMFJc0GKBO&#10;KrDMKyrbZZantdnpe01rJnXxbqc1Hpayqh8mIifqYGwA2Ir4A2AM2pOfP6pqxETcrJDHnxhklmfA&#10;j3OeEcoYa2dsHoa52zkbLsSTNMuIFPXHab1AVaqV4s2qnb8ipQAFmHi5kvPpaSYJvGFsTODnoyJh&#10;5nmlh+mnXRN+l4+4bzfoGI6gasSOIQ/urQ3BdzXCZWlBwFKI5yriWaJs3z4rOS5PiZUVZKlQ4bVv&#10;EFna3dxaEzyk8VutP5anNbjCLM3Hhq9lReek8PFWEeNxzdNMH4OQWYEc1RjRuJ+K+ALwAvpGicEv&#10;w8FCyM8NsgQfNzaqz864TAySvVOAygPqKDbWeOK4ngUncv3OdP0OLyKYamxEtTRAKerktNau9KyU&#10;6XwB79K2LcQ9cAuztFarVCjWcjUnQM5DsZT6LqNBAF5mB0vRlgPScaAcesBrZ6nvM5Bj2yvaAXNt&#10;7duUDRpotP60JdS+SDqA4ACppnnfnFyK1FdHO53YHmv5OHjVNaC9Xk1XgLAeYEfgt+GJuT6jLoSo&#10;XcBHmB0I+NRHBgLyma+DEA/bEAU5nOVo8LvU928M+CeTUxUtlAMDj7Dupm8Q+HUqooQ8cgBygQbO&#10;DQds6psBcAAKkMszNEwiD0QBL1CZIjCA2jbDF/cUoK4dgJAqJwYKDFPbPqH6d/y/TmNvOgU6Z3bM&#10;f3TB0VEgAOA5zNpFAay+DkSBPgpApWtvcOAYBq6Y8ascCMMAJlnHMLAVBiAKUDPwmQ/tg8vjABax&#10;ByKBbQcBpDvHQNBXx9dUCCAJupB+DASDQGCZlunSwNqdDGHmfSgSOJYqeIEEFoMyReWv69kQgwTp&#10;mA2hUl6n99NFgi6oH0mwQQLqUgsqY6+NBC/+/P6vr356/tvPIXnxxTfQviVu0FZT0LY9LXRXPFoV&#10;TVe86wlhK/PpRQmNX90ObKijh6iT3Y1b3aVwHR3xySxLy7fVNHj0UdtDa/roFhAEigPgyi3LCzb6&#10;u9Bv1EyxLdt6SeNomhT1qSgK6O8KaWPn9NIWr5Kj6/E6vsMoa6rgy5u8hVAtXkSrroyZDUWDYvSg&#10;at7oLKm1N9MOHruGYKBRDwJh5/FwzUbLZS6D6N7Vm9vo0r5uABUe7gVdlEFGrXTcw0uZZAtUlh1s&#10;+t99Y8qDxpTTgvWIqWbjctc2E4WWGRRxrHVZz7/9HVxWBy0CtR1Afb+QGiDHM8HnqPw1cCysOfrQ&#10;3Tgjj7bU3tHDhk0VtaPGQ7S+Ymrf5lCXt1wKDcz/p0+hnkMZlAx0Vx9X99Yb8+97m9GHQkqnbWBi&#10;TBh721OXwdZFk7YFLb13AODadxoHMWQj1NxX2NEgGzx20/q4GGaVJY9p2yBtgz12Rm3Ym4SqQBfw&#10;nffr0jbdUt2vF3zNtM2nkEkpP2lC3aXw13MFqx/V7rVtlYxqbO6gytXSNmof07atr2l2hFjGbD/w&#10;mN+72M0Q2xVU+6sJBiHWge4oVsfwgQx6hTXogJQKOb77kq2y/0SMxQ974MMnzBCaj7TUl1Xr55jn&#10;95+SnfwNAAD//wMAUEsDBBQABgAIAAAAIQABhVsz3wAAAAkBAAAPAAAAZHJzL2Rvd25yZXYueG1s&#10;TI9BS8NAFITvgv9heYI3u0nTSIjZlFLUUxFsBfG2zb4modm3IbtN0n/v82SPwwwz3xTr2XZixMG3&#10;jhTEiwgEUuVMS7WCr8PbUwbCB01Gd45QwRU9rMv7u0Lnxk30ieM+1IJLyOdaQRNCn0vpqwat9gvX&#10;I7F3coPVgeVQSzPoicttJ5dR9CytbokXGt3jtsHqvL9YBe+TnjZJ/Druzqft9eeQfnzvYlTq8WHe&#10;vIAIOIf/MPzhMzqUzHR0FzJedKwTvhIUpMsEBPtZHK9AHBWssjQDWRby9kH5CwAA//8DAFBLAQIt&#10;ABQABgAIAAAAIQC2gziS/gAAAOEBAAATAAAAAAAAAAAAAAAAAAAAAABbQ29udGVudF9UeXBlc10u&#10;eG1sUEsBAi0AFAAGAAgAAAAhADj9If/WAAAAlAEAAAsAAAAAAAAAAAAAAAAALwEAAF9yZWxzLy5y&#10;ZWxzUEsBAi0AFAAGAAgAAAAhAGMOJmRhBgAAkiYAAA4AAAAAAAAAAAAAAAAALgIAAGRycy9lMm9E&#10;b2MueG1sUEsBAi0AFAAGAAgAAAAhAAGFWzPfAAAACQEAAA8AAAAAAAAAAAAAAAAAuwgAAGRycy9k&#10;b3ducmV2LnhtbFBLBQYAAAAABAAEAPMAAADHCQAAAAA=&#10;">
                <v:roundrect id="矩形: 圆角 50" o:spid="_x0000_s1027" style="position:absolute;top:5627;width:57501;height:301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uSFyAAAAOMAAAAPAAAAZHJzL2Rvd25yZXYueG1sRE/NasJA&#10;EL4LvsMyQi+iG6MVTV1FCoKgl1hBj2N2mkSzsyG7avr2bqHQ43z/s1i1phIPalxpWcFoGIEgzqwu&#10;OVdw/NoMZiCcR9ZYWSYFP+Rgtex2Fpho++SUHgefixDCLkEFhfd1IqXLCjLohrYmDty3bQz6cDa5&#10;1A0+Q7ipZBxFU2mw5NBQYE2fBWW3w90oSMfTq+vf7udL/5TunD5ml3e5V+qt164/QHhq/b/4z73V&#10;YX48jibzySiew+9PAQC5fAEAAP//AwBQSwECLQAUAAYACAAAACEA2+H2y+4AAACFAQAAEwAAAAAA&#10;AAAAAAAAAAAAAAAAW0NvbnRlbnRfVHlwZXNdLnhtbFBLAQItABQABgAIAAAAIQBa9CxbvwAAABUB&#10;AAALAAAAAAAAAAAAAAAAAB8BAABfcmVscy8ucmVsc1BLAQItABQABgAIAAAAIQCejuSFyAAAAOMA&#10;AAAPAAAAAAAAAAAAAAAAAAcCAABkcnMvZG93bnJldi54bWxQSwUGAAAAAAMAAwC3AAAA/AIAAAAA&#10;" fillcolor="#ffff80" strokecolor="yellow" strokeweight="1pt">
                  <v:fill color2="#ffffda" rotate="t" angle="90" colors="0 #ffff80;.5 #ffffb3;1 #ffffda" focus="100%" type="gradient"/>
                  <v:stroke joinstyle="miter"/>
                </v:roundrect>
                <v:roundrect id="矩形: 圆角 51" o:spid="_x0000_s1028" style="position:absolute;left:8865;width:39653;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itxgAAAOMAAAAPAAAAZHJzL2Rvd25yZXYueG1sRE9fa8Iw&#10;EH8X/A7hBnsRTVtQYmcUkQm+COqGz0dza8uaS2miZt9+GQx8vN//W22i7cSdBt861pDPMhDElTMt&#10;1xo+P/ZTBcIHZIOdY9LwQx426/FohaVxDz7T/RJqkULYl6ihCaEvpfRVQxb9zPXEiftyg8WQzqGW&#10;ZsBHCredLLJsIS22nBoa7GnXUPV9uVkNRk3O7qauXKi4P9j3Uzwet1Hr15e4fQMRKIan+N99MGl+&#10;ruaLfLks5vD3UwJArn8BAAD//wMAUEsBAi0AFAAGAAgAAAAhANvh9svuAAAAhQEAABMAAAAAAAAA&#10;AAAAAAAAAAAAAFtDb250ZW50X1R5cGVzXS54bWxQSwECLQAUAAYACAAAACEAWvQsW78AAAAVAQAA&#10;CwAAAAAAAAAAAAAAAAAfAQAAX3JlbHMvLnJlbHNQSwECLQAUAAYACAAAACEAP4SorcYAAADjAAAA&#10;DwAAAAAAAAAAAAAAAAAHAgAAZHJzL2Rvd25yZXYueG1sUEsFBgAAAAADAAMAtwAAAPoCAAAAAA==&#10;" fillcolor="#00b0f0" strokecolor="#1f3763" strokeweight="1pt">
                  <v:stroke joinstyle="miter"/>
                  <v:textbox>
                    <w:txbxContent>
                      <w:p w14:paraId="1720B706"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一回路冷却剂硼酸测量方法的开发</w:t>
                        </w:r>
                      </w:p>
                    </w:txbxContent>
                  </v:textbox>
                </v:roundrect>
                <v:roundrect id="矩形: 圆角 52" o:spid="_x0000_s1029" style="position:absolute;left:18925;top:6857;width:20024;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xNfyAAAAOMAAAAPAAAAZHJzL2Rvd25yZXYueG1sRE9fT8Iw&#10;EH834Ts0R+KbdDMw56QQNDHhQR+YfIBLe2yD9TraCtNPb01MfLzf/1uuR9uLC/nQOVaQzzIQxNqZ&#10;jhsF+4/XuxJEiMgGe8ek4IsCrFeTmyVWxl15R5c6NiKFcKhQQRvjUEkZdEsWw8wNxIk7OG8xptM3&#10;0ni8pnDby/ssK6TFjlNDiwO9tKRP9adVsK2Ph97rZz187838/dyUIX94U+p2Om6eQEQa47/4z701&#10;aX6xKIt8kc0f4fenBIBc/QAAAP//AwBQSwECLQAUAAYACAAAACEA2+H2y+4AAACFAQAAEwAAAAAA&#10;AAAAAAAAAAAAAAAAW0NvbnRlbnRfVHlwZXNdLnhtbFBLAQItABQABgAIAAAAIQBa9CxbvwAAABUB&#10;AAALAAAAAAAAAAAAAAAAAB8BAABfcmVscy8ucmVsc1BLAQItABQABgAIAAAAIQCrvxNfyAAAAOMA&#10;AAAPAAAAAAAAAAAAAAAAAAcCAABkcnMvZG93bnJldi54bWxQSwUGAAAAAAMAAwC3AAAA/AIAAAAA&#10;" fillcolor="#ffc000" strokecolor="#1f3763" strokeweight="1pt">
                  <v:stroke joinstyle="miter"/>
                  <v:textbox>
                    <w:txbxContent>
                      <w:p w14:paraId="4EF2E78B"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滴定参数试验</w:t>
                        </w:r>
                      </w:p>
                    </w:txbxContent>
                  </v:textbox>
                </v:roundrect>
                <v:roundrect id="矩形: 圆角 54" o:spid="_x0000_s1030" style="position:absolute;left:7929;top:13364;width:15398;height:51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iOhxQAAAOIAAAAPAAAAZHJzL2Rvd25yZXYueG1sRE/Pa8Iw&#10;FL4P/B/CE3abSd0mrhpFxwa7rjp6fTTPpti8hCZq/e+Xw2DHj+/3eju6XlxpiJ1nDcVMgSBuvOm4&#10;1XA8fD4tQcSEbLD3TBruFGG7mTyssTT+xt90rVIrcgjHEjXYlEIpZWwsOYwzH4gzd/KDw5Th0Eoz&#10;4C2Hu17OlVpIhx3nBouB3i015+riNNT7urlbG/Z9dXjpfKg/zpefo9aP03G3ApFoTP/iP/eX0fBc&#10;LNVb8ary5nwp3wG5+QUAAP//AwBQSwECLQAUAAYACAAAACEA2+H2y+4AAACFAQAAEwAAAAAAAAAA&#10;AAAAAAAAAAAAW0NvbnRlbnRfVHlwZXNdLnhtbFBLAQItABQABgAIAAAAIQBa9CxbvwAAABUBAAAL&#10;AAAAAAAAAAAAAAAAAB8BAABfcmVscy8ucmVsc1BLAQItABQABgAIAAAAIQBoniOhxQAAAOIAAAAP&#10;AAAAAAAAAAAAAAAAAAcCAABkcnMvZG93bnJldi54bWxQSwUGAAAAAAMAAwC3AAAA+QIAAAAA&#10;" fillcolor="#00b050" strokecolor="#1f3763" strokeweight="1pt">
                  <v:stroke joinstyle="miter"/>
                  <v:textbox>
                    <w:txbxContent>
                      <w:p w14:paraId="22E4AD77"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滴定剂浓度试验</w:t>
                        </w:r>
                      </w:p>
                    </w:txbxContent>
                  </v:textbox>
                </v:roundrect>
                <v:roundrect id="矩形: 圆角 55" o:spid="_x0000_s1031" style="position:absolute;left:18925;top:20134;width:20024;height:5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t1JywAAAOIAAAAPAAAAZHJzL2Rvd25yZXYueG1sRI/NTsMw&#10;EITvSLyDtUjcqJNQ9SfUrQoSUg9waOgDrOxtkjZep7ZpA0+PkSr1OJqZbzSL1WA7cSYfWscK8lEG&#10;glg703KtYPf1/jQDESKywc4xKfihAKvl/d0CS+MuvKVzFWuRIBxKVNDE2JdSBt2QxTByPXHy9s5b&#10;jEn6WhqPlwS3nSyybCIttpwWGuzprSF9rL6tgk112Hdev+r+d2fGn6d6FvLph1KPD8P6BUSkId7C&#10;1/bGKHjO59N5MZ4U8H8p3QG5/AMAAP//AwBQSwECLQAUAAYACAAAACEA2+H2y+4AAACFAQAAEwAA&#10;AAAAAAAAAAAAAAAAAAAAW0NvbnRlbnRfVHlwZXNdLnhtbFBLAQItABQABgAIAAAAIQBa9CxbvwAA&#10;ABUBAAALAAAAAAAAAAAAAAAAAB8BAABfcmVscy8ucmVsc1BLAQItABQABgAIAAAAIQD6zt1JywAA&#10;AOIAAAAPAAAAAAAAAAAAAAAAAAcCAABkcnMvZG93bnJldi54bWxQSwUGAAAAAAMAAwC3AAAA/wIA&#10;AAAA&#10;" fillcolor="#ffc000" strokecolor="#1f3763" strokeweight="1pt">
                  <v:stroke joinstyle="miter"/>
                  <v:textbox>
                    <w:txbxContent>
                      <w:p w14:paraId="4BBF56E3"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整体方法试验</w:t>
                        </w:r>
                      </w:p>
                    </w:txbxContent>
                  </v:textbox>
                </v:roundrect>
                <v:roundrect id="矩形: 圆角 57" o:spid="_x0000_s1032" style="position:absolute;left:33994;top:13364;width:15398;height:51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7S2xQAAAOMAAAAPAAAAZHJzL2Rvd25yZXYueG1sRE9fa8Iw&#10;EH8f7DuEG+xtJpUhtRplygZ7XVX6ejS3pthcQhO1fvtlMNjj/f7feju5QVxpjL1nDcVMgSBuvem5&#10;03A8fLyUIGJCNjh4Jg13irDdPD6ssTL+xl90rVMncgjHCjXYlEIlZWwtOYwzH4gz9+1HhymfYyfN&#10;iLcc7gY5V2ohHfacGywG2ltqz/XFaWh2TXu3NuyG+vDa+9C8ny+no9bPT9PbCkSiKf2L/9yfJs8v&#10;VaGW5aIs4PenDIDc/AAAAP//AwBQSwECLQAUAAYACAAAACEA2+H2y+4AAACFAQAAEwAAAAAAAAAA&#10;AAAAAAAAAAAAW0NvbnRlbnRfVHlwZXNdLnhtbFBLAQItABQABgAIAAAAIQBa9CxbvwAAABUBAAAL&#10;AAAAAAAAAAAAAAAAAB8BAABfcmVscy8ucmVsc1BLAQItABQABgAIAAAAIQDte7S2xQAAAOMAAAAP&#10;AAAAAAAAAAAAAAAAAAcCAABkcnMvZG93bnJldi54bWxQSwUGAAAAAAMAAwC3AAAA+QIAAAAA&#10;" fillcolor="#00b050" strokecolor="#1f3763" strokeweight="1pt">
                  <v:stroke joinstyle="miter"/>
                  <v:textbox>
                    <w:txbxContent>
                      <w:p w14:paraId="584F910A"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取样体积试验</w:t>
                        </w:r>
                      </w:p>
                    </w:txbxContent>
                  </v:textbox>
                </v:roundrect>
                <v:roundrect id="矩形: 圆角 58" o:spid="_x0000_s1033" style="position:absolute;left:34253;top:26861;width:15664;height:51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dcrxQAAAOMAAAAPAAAAZHJzL2Rvd25yZXYueG1sRE/Pa8Iw&#10;FL4P9j+EJ+w2E8smsxpljg12tTp6fTTPpti8hCZq/e+Xg+Dx4/u92oyuFxcaYudZw2yqQBA33nTc&#10;ajjsf14/QMSEbLD3TBpuFGGzfn5aYWn8lXd0qVIrcgjHEjXYlEIpZWwsOYxTH4gzd/SDw5Th0Eoz&#10;4DWHu14WSs2lw45zg8VAX5aaU3V2Gupt3dysDdu+2r91PtTfp/PfQeuXyfi5BJFoTA/x3f1rNBSq&#10;UO+zRaHy6Pwp/wG5/gcAAP//AwBQSwECLQAUAAYACAAAACEA2+H2y+4AAACFAQAAEwAAAAAAAAAA&#10;AAAAAAAAAAAAW0NvbnRlbnRfVHlwZXNdLnhtbFBLAQItABQABgAIAAAAIQBa9CxbvwAAABUBAAAL&#10;AAAAAAAAAAAAAAAAAB8BAABfcmVscy8ucmVsc1BLAQItABQABgAIAAAAIQBgUdcrxQAAAOMAAAAP&#10;AAAAAAAAAAAAAAAAAAcCAABkcnMvZG93bnJldi54bWxQSwUGAAAAAAMAAwC3AAAA+QIAAAAA&#10;" fillcolor="#00b050" strokecolor="#1f3763" strokeweight="1pt">
                  <v:stroke joinstyle="miter"/>
                  <v:textbox>
                    <w:txbxContent>
                      <w:p w14:paraId="53A3E68B"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重复性试验</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59" o:spid="_x0000_s1034" type="#_x0000_t34" style="position:absolute;left:28618;top:-2797;width:127;height:3232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Z/eywAAAOMAAAAPAAAAZHJzL2Rvd25yZXYueG1sRI9Ba8JA&#10;FITvgv9heUIvUncTiJXUVUQUetCDMVB6e2Rfk2D2bchuNf333UKhx2FmvmHW29F24k6Dbx1rSBYK&#10;BHHlTMu1hvJ6fF6B8AHZYOeYNHyTh+1mOlljbtyDL3QvQi0ihH2OGpoQ+lxKXzVk0S9cTxy9TzdY&#10;DFEOtTQDPiLcdjJVaiktthwXGuxp31B1K76shnlIC3Wuy/L4cereD9mZ+ERzrZ9m4+4VRKAx/If/&#10;2m9GQ6qSLEmX2eoFfj/FPyA3PwAAAP//AwBQSwECLQAUAAYACAAAACEA2+H2y+4AAACFAQAAEwAA&#10;AAAAAAAAAAAAAAAAAAAAW0NvbnRlbnRfVHlwZXNdLnhtbFBLAQItABQABgAIAAAAIQBa9CxbvwAA&#10;ABUBAAALAAAAAAAAAAAAAAAAAB8BAABfcmVscy8ucmVsc1BLAQItABQABgAIAAAAIQD0QZ/eywAA&#10;AOMAAAAPAAAAAAAAAAAAAAAAAAcCAABkcnMvZG93bnJldi54bWxQSwUGAAAAAAMAAwC3AAAA/wIA&#10;AAAA&#10;" adj="104677" strokeweight=".5pt"/>
                <v:shape id="连接符: 肘形 61" o:spid="_x0000_s1035" type="#_x0000_t34" style="position:absolute;left:28618;top:2391;width:127;height:3232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eUKyAAAAOIAAAAPAAAAZHJzL2Rvd25yZXYueG1sRE/Pa8Iw&#10;FL4L/g/hCbvITNVZtDOKGwqiMJh68Pho3ppi81KbTOt/bw6DHT++3/Nlaytxo8aXjhUMBwkI4tzp&#10;kgsFp+PmdQrCB2SNlWNS8CAPy0W3M8dMuzt/0+0QChFD2GeowIRQZ1L63JBFP3A1ceR+XGMxRNgU&#10;Ujd4j+G2kqMkSaXFkmODwZo+DeWXw69V0F/xdVcWX2tzHfP0XHF73O8/lHrptat3EIHa8C/+c2+1&#10;gtEknaSz2VvcHC/FOyAXTwAAAP//AwBQSwECLQAUAAYACAAAACEA2+H2y+4AAACFAQAAEwAAAAAA&#10;AAAAAAAAAAAAAAAAW0NvbnRlbnRfVHlwZXNdLnhtbFBLAQItABQABgAIAAAAIQBa9CxbvwAAABUB&#10;AAALAAAAAAAAAAAAAAAAAB8BAABfcmVscy8ucmVsc1BLAQItABQABgAIAAAAIQA1FeUKyAAAAOIA&#10;AAAPAAAAAAAAAAAAAAAAAAcCAABkcnMvZG93bnJldi54bWxQSwUGAAAAAAMAAwC3AAAA/AIAAAAA&#10;" adj="164493" strokeweight=".5pt"/>
                <v:line id="直接连接符 62" o:spid="_x0000_s1036" style="position:absolute;visibility:visible;mso-wrap-style:square" from="28707,19423" to="28714,20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v9YyQAAAOMAAAAPAAAAZHJzL2Rvd25yZXYueG1sRE9fS8Mw&#10;EH8X/A7hBN9curLVtS4bTpDtYYJOEX07mrMtNpcuydbu25vBwMf7/b/5cjCtOJLzjWUF41ECgri0&#10;uuFKwcf7890MhA/IGlvLpOBEHpaL66s5Ftr2/EbHXahEDGFfoII6hK6Q0pc1GfQj2xFH7sc6gyGe&#10;rpLaYR/DTSvTJMmkwYZjQ40dPdVU/u4ORgGl+eRr9T2peuv2n9v11r66l41StzfD4wOIQEP4F1/c&#10;Gx3np+NsNs3v8wzOP0UA5OIPAAD//wMAUEsBAi0AFAAGAAgAAAAhANvh9svuAAAAhQEAABMAAAAA&#10;AAAAAAAAAAAAAAAAAFtDb250ZW50X1R5cGVzXS54bWxQSwECLQAUAAYACAAAACEAWvQsW78AAAAV&#10;AQAACwAAAAAAAAAAAAAAAAAfAQAAX3JlbHMvLnJlbHNQSwECLQAUAAYACAAAACEAKlr/WMkAAADj&#10;AAAADwAAAAAAAAAAAAAAAAAHAgAAZHJzL2Rvd25yZXYueG1sUEsFBgAAAAADAAMAtwAAAP0CAAAA&#10;AA==&#10;" strokeweight="1.5pt">
                  <v:stroke joinstyle="miter"/>
                </v:line>
                <v:roundrect id="矩形: 圆角 63" o:spid="_x0000_s1037" style="position:absolute;left:8109;top:27108;width:15672;height:5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IexgAAAOMAAAAPAAAAZHJzL2Rvd25yZXYueG1sRE9fa8Iw&#10;EH8f+B3CCb7NtFPcWo2iY4O9rjr6ejS3pthcQhO1fvtlMNjj/f7fZjfaXlxpCJ1jBfk8A0HcON1x&#10;q+B0fH98AREissbeMSm4U4DddvKwwVK7G3/StYqtSCEcSlRgYvSllKExZDHMnSdO3LcbLMZ0Dq3U&#10;A95SuO3lU5atpMWOU4NBT6+GmnN1sQrqQ93cjfGHvjouO+frt/Pl66TUbDru1yAijfFf/Of+0Gn+&#10;8zJfLYoiL+D3pwSA3P4AAAD//wMAUEsBAi0AFAAGAAgAAAAhANvh9svuAAAAhQEAABMAAAAAAAAA&#10;AAAAAAAAAAAAAFtDb250ZW50X1R5cGVzXS54bWxQSwECLQAUAAYACAAAACEAWvQsW78AAAAVAQAA&#10;CwAAAAAAAAAAAAAAAAAfAQAAX3JlbHMvLnJlbHNQSwECLQAUAAYACAAAACEAAhgyHsYAAADjAAAA&#10;DwAAAAAAAAAAAAAAAAAHAgAAZHJzL2Rvd25yZXYueG1sUEsFBgAAAAADAAMAtwAAAPoCAAAAAA==&#10;" fillcolor="#00b050" strokecolor="#1f3763" strokeweight="1pt">
                  <v:stroke joinstyle="miter"/>
                  <v:textbox>
                    <w:txbxContent>
                      <w:p w14:paraId="3D0EFC42" w14:textId="77777777" w:rsidR="00C94C2E" w:rsidRDefault="00C94C2E" w:rsidP="0063022D">
                        <w:pPr>
                          <w:jc w:val="center"/>
                          <w:rPr>
                            <w:rFonts w:hint="eastAsia"/>
                            <w:b/>
                            <w:bCs/>
                            <w:color w:val="000000" w:themeColor="text1"/>
                            <w:kern w:val="24"/>
                            <w:szCs w:val="21"/>
                          </w:rPr>
                        </w:pPr>
                        <w:r>
                          <w:rPr>
                            <w:rFonts w:hint="eastAsia"/>
                            <w:b/>
                            <w:bCs/>
                            <w:color w:val="000000" w:themeColor="text1"/>
                            <w:kern w:val="24"/>
                            <w:szCs w:val="21"/>
                          </w:rPr>
                          <w:t>定量限试验</w:t>
                        </w:r>
                      </w:p>
                    </w:txbxContent>
                  </v:textbox>
                </v:roundrect>
                <v:shape id="连接符: 肘形 64" o:spid="_x0000_s1038" type="#_x0000_t34" style="position:absolute;left:28811;top:10192;width:253;height:3358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wKxgAAAOMAAAAPAAAAZHJzL2Rvd25yZXYueG1sRE9LS8Qw&#10;EL4L/ocwgjc3aZXq1s0uIhTEw8I+PHgbmrEpNpPSjLv13xtB8Djfe1abOQzqRFPqI1soFgYUcRtd&#10;z52F46G5eQCVBNnhEJksfFOCzfryYoW1i2fe0WkvncohnGq04EXGWuvUegqYFnEkztxHnAJKPqdO&#10;uwnPOTwMujSm0gF7zg0eR3r21H7uv4KFJu78cZvEbZev8u7fdNGYqrD2+mp+egQlNMu/+M/94vL8&#10;clkVt/eluYPfnzIAev0DAAD//wMAUEsBAi0AFAAGAAgAAAAhANvh9svuAAAAhQEAABMAAAAAAAAA&#10;AAAAAAAAAAAAAFtDb250ZW50X1R5cGVzXS54bWxQSwECLQAUAAYACAAAACEAWvQsW78AAAAVAQAA&#10;CwAAAAAAAAAAAAAAAAAfAQAAX3JlbHMvLnJlbHNQSwECLQAUAAYACAAAACEAWqPsCsYAAADjAAAA&#10;DwAAAAAAAAAAAAAAAAAHAgAAZHJzL2Rvd25yZXYueG1sUEsFBgAAAAADAAMAtwAAAPoCAAAAAA==&#10;" adj="89341" strokeweight=".5pt"/>
                <v:line id="直接连接符 65" o:spid="_x0000_s1039" style="position:absolute;visibility:visible;mso-wrap-style:square" from="28434,25276" to="28463,26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4rAyQAAAOMAAAAPAAAAZHJzL2Rvd25yZXYueG1sRE9fS8Mw&#10;EH8f+B3CCb5t6eaobV02piDuYQOdIvp2NLe2rLnUJK7dtzfCwMf7/b/FajCtOJHzjWUF00kCgri0&#10;uuFKwfvb0zgD4QOyxtYyKTiTh9XyarTAQtueX+m0D5WIIewLVFCH0BVS+rImg35iO+LIHawzGOLp&#10;Kqkd9jHctHKWJKk02HBsqLGjx5rK4/7HKKBZPv98+JpXvXXfH9vnrX1xu41SN9fD+h5EoCH8iy/u&#10;jY7z0/Q2y+/SLIe/nyIAcvkLAAD//wMAUEsBAi0AFAAGAAgAAAAhANvh9svuAAAAhQEAABMAAAAA&#10;AAAAAAAAAAAAAAAAAFtDb250ZW50X1R5cGVzXS54bWxQSwECLQAUAAYACAAAACEAWvQsW78AAAAV&#10;AQAACwAAAAAAAAAAAAAAAAAfAQAAX3JlbHMvLnJlbHNQSwECLQAUAAYACAAAACEA4DeKwMkAAADj&#10;AAAADwAAAAAAAAAAAAAAAAAHAgAAZHJzL2Rvd25yZXYueG1sUEsFBgAAAAADAAMAtwAAAP0CAAAA&#10;AA==&#10;" strokeweight="1.5pt">
                  <v:stroke joinstyle="miter"/>
                </v:line>
                <w10:wrap type="square" anchorx="margin"/>
              </v:group>
            </w:pict>
          </mc:Fallback>
        </mc:AlternateContent>
      </w:r>
    </w:p>
    <w:p w14:paraId="2C0EF0DD" w14:textId="77777777" w:rsidR="00E650CE" w:rsidRDefault="004938CB">
      <w:pPr>
        <w:pStyle w:val="af"/>
        <w:ind w:left="360" w:firstLine="400"/>
        <w:jc w:val="center"/>
        <w:rPr>
          <w:rFonts w:ascii="Times New Roman" w:hAnsi="Times New Roman" w:cs="Times New Roman"/>
          <w:sz w:val="20"/>
          <w:szCs w:val="20"/>
          <w:highlight w:val="yellow"/>
        </w:rPr>
      </w:pPr>
      <w:r>
        <w:rPr>
          <w:rFonts w:ascii="Times New Roman" w:hAnsi="Times New Roman" w:cs="Times New Roman"/>
          <w:sz w:val="20"/>
          <w:szCs w:val="20"/>
        </w:rPr>
        <w:t>图</w:t>
      </w:r>
      <w:r>
        <w:rPr>
          <w:rFonts w:ascii="Times New Roman" w:hAnsi="Times New Roman" w:cs="Times New Roman"/>
          <w:sz w:val="20"/>
          <w:szCs w:val="20"/>
        </w:rPr>
        <w:t xml:space="preserve">1 </w:t>
      </w:r>
      <w:r>
        <w:rPr>
          <w:rFonts w:ascii="Times New Roman" w:hAnsi="Times New Roman" w:cs="Times New Roman" w:hint="eastAsia"/>
          <w:sz w:val="20"/>
          <w:szCs w:val="20"/>
        </w:rPr>
        <w:t>核电厂一回路冷却水硼酸</w:t>
      </w:r>
      <w:r>
        <w:rPr>
          <w:rFonts w:ascii="Times New Roman" w:hAnsi="Times New Roman" w:cs="Times New Roman"/>
          <w:sz w:val="20"/>
          <w:szCs w:val="20"/>
        </w:rPr>
        <w:t>测量方法开发技术路线图</w:t>
      </w:r>
    </w:p>
    <w:p w14:paraId="543B0894" w14:textId="77777777" w:rsidR="00E650CE" w:rsidRDefault="004938CB">
      <w:pPr>
        <w:pStyle w:val="af"/>
        <w:widowControl w:val="0"/>
        <w:numPr>
          <w:ilvl w:val="0"/>
          <w:numId w:val="1"/>
        </w:numPr>
        <w:ind w:firstLineChars="0"/>
        <w:jc w:val="both"/>
        <w:rPr>
          <w:rFonts w:ascii="Times New Roman" w:hAnsi="Times New Roman" w:cs="Times New Roman"/>
        </w:rPr>
      </w:pPr>
      <w:r>
        <w:rPr>
          <w:rFonts w:ascii="Times New Roman" w:hAnsi="Times New Roman" w:cs="Times New Roman" w:hint="eastAsia"/>
        </w:rPr>
        <w:t>滴定</w:t>
      </w:r>
      <w:r>
        <w:rPr>
          <w:rFonts w:ascii="Times New Roman" w:hAnsi="Times New Roman" w:cs="Times New Roman"/>
        </w:rPr>
        <w:t>参数试验</w:t>
      </w:r>
    </w:p>
    <w:p w14:paraId="77C4FBBD" w14:textId="77777777" w:rsidR="00E650CE" w:rsidRPr="002806E2" w:rsidRDefault="004938CB" w:rsidP="002806E2">
      <w:pPr>
        <w:pStyle w:val="1"/>
        <w:autoSpaceDE w:val="0"/>
        <w:autoSpaceDN w:val="0"/>
        <w:spacing w:line="360" w:lineRule="auto"/>
        <w:ind w:firstLine="480"/>
        <w:textAlignment w:val="center"/>
        <w:rPr>
          <w:sz w:val="24"/>
          <w:highlight w:val="yellow"/>
        </w:rPr>
      </w:pPr>
      <w:r w:rsidRPr="002806E2">
        <w:rPr>
          <w:sz w:val="24"/>
        </w:rPr>
        <w:t>测量参数试验是方法开发的核心工作，通过</w:t>
      </w:r>
      <w:r w:rsidRPr="002806E2">
        <w:rPr>
          <w:rFonts w:hint="eastAsia"/>
          <w:sz w:val="24"/>
        </w:rPr>
        <w:t>选择滴定剂浓度、取样体积试验等</w:t>
      </w:r>
      <w:r w:rsidRPr="002806E2">
        <w:rPr>
          <w:sz w:val="24"/>
        </w:rPr>
        <w:t>参数，消除分析干扰因素，提升</w:t>
      </w:r>
      <w:r w:rsidRPr="002806E2">
        <w:rPr>
          <w:rFonts w:hint="eastAsia"/>
          <w:sz w:val="24"/>
        </w:rPr>
        <w:t>滴定</w:t>
      </w:r>
      <w:r w:rsidRPr="002806E2">
        <w:rPr>
          <w:sz w:val="24"/>
        </w:rPr>
        <w:t>分析</w:t>
      </w:r>
      <w:r w:rsidRPr="002806E2">
        <w:rPr>
          <w:rFonts w:hint="eastAsia"/>
          <w:sz w:val="24"/>
        </w:rPr>
        <w:t>准</w:t>
      </w:r>
      <w:r w:rsidRPr="002806E2">
        <w:rPr>
          <w:sz w:val="24"/>
        </w:rPr>
        <w:t>确度。</w:t>
      </w:r>
      <w:r w:rsidRPr="002806E2">
        <w:rPr>
          <w:rFonts w:hint="eastAsia"/>
          <w:sz w:val="24"/>
        </w:rPr>
        <w:t>滴定剂浓度及取样体积是电位滴定法的</w:t>
      </w:r>
      <w:r w:rsidRPr="002806E2">
        <w:rPr>
          <w:sz w:val="24"/>
        </w:rPr>
        <w:t>主要工作参数。其中，</w:t>
      </w:r>
      <w:r w:rsidRPr="002806E2">
        <w:rPr>
          <w:rFonts w:hint="eastAsia"/>
          <w:sz w:val="24"/>
        </w:rPr>
        <w:t>合适的</w:t>
      </w:r>
      <w:proofErr w:type="gramStart"/>
      <w:r w:rsidRPr="002806E2">
        <w:rPr>
          <w:rFonts w:hint="eastAsia"/>
          <w:sz w:val="24"/>
        </w:rPr>
        <w:t>取样体样可以</w:t>
      </w:r>
      <w:proofErr w:type="gramEnd"/>
      <w:r w:rsidRPr="002806E2">
        <w:rPr>
          <w:rFonts w:hint="eastAsia"/>
          <w:sz w:val="24"/>
        </w:rPr>
        <w:t>消耗适量的滴定剂，既加快滴定速度又能确保滴定准确度；适宜的滴定剂浓度也同样可以提高滴定准确度，滴定剂浓度过高会导致滴定体积消耗过少，增加相对误差，滴定剂浓度过低，可能导致滴定剂消耗量过大，降低滴定速度，若单次吸取量不满足一次滴定实验，反而增加滴定剂吸液误差。</w:t>
      </w:r>
    </w:p>
    <w:p w14:paraId="5AFA8A07" w14:textId="77777777" w:rsidR="00E650CE" w:rsidRDefault="004938CB">
      <w:pPr>
        <w:pStyle w:val="af"/>
        <w:widowControl w:val="0"/>
        <w:numPr>
          <w:ilvl w:val="0"/>
          <w:numId w:val="1"/>
        </w:numPr>
        <w:ind w:firstLineChars="0"/>
        <w:jc w:val="both"/>
        <w:rPr>
          <w:rFonts w:ascii="Times New Roman" w:hAnsi="Times New Roman" w:cs="Times New Roman"/>
        </w:rPr>
      </w:pPr>
      <w:r>
        <w:rPr>
          <w:rFonts w:ascii="Times New Roman" w:hAnsi="Times New Roman" w:cs="Times New Roman"/>
        </w:rPr>
        <w:t>整体方法试验</w:t>
      </w:r>
    </w:p>
    <w:p w14:paraId="588E1EDC" w14:textId="77777777" w:rsidR="00E650CE" w:rsidRPr="002806E2" w:rsidRDefault="004938CB" w:rsidP="002806E2">
      <w:pPr>
        <w:pStyle w:val="1"/>
        <w:autoSpaceDE w:val="0"/>
        <w:autoSpaceDN w:val="0"/>
        <w:spacing w:line="360" w:lineRule="auto"/>
        <w:ind w:firstLine="480"/>
        <w:textAlignment w:val="center"/>
        <w:rPr>
          <w:sz w:val="24"/>
          <w:highlight w:val="yellow"/>
        </w:rPr>
      </w:pPr>
      <w:r w:rsidRPr="002806E2">
        <w:rPr>
          <w:sz w:val="24"/>
        </w:rPr>
        <w:t>整体方法试验采用所选取的测量参数进行标准</w:t>
      </w:r>
      <w:r w:rsidRPr="002806E2">
        <w:rPr>
          <w:rFonts w:hint="eastAsia"/>
          <w:sz w:val="24"/>
        </w:rPr>
        <w:t>溶液配制</w:t>
      </w:r>
      <w:r w:rsidRPr="002806E2">
        <w:rPr>
          <w:sz w:val="24"/>
        </w:rPr>
        <w:t>，通过对标准样品的重复测量来验证方法的准确度，通过对</w:t>
      </w:r>
      <w:r w:rsidRPr="002806E2">
        <w:rPr>
          <w:rFonts w:hint="eastAsia"/>
          <w:sz w:val="24"/>
        </w:rPr>
        <w:t>多个低浓度</w:t>
      </w:r>
      <w:r w:rsidRPr="002806E2">
        <w:rPr>
          <w:sz w:val="24"/>
        </w:rPr>
        <w:t>样品的重复测量验证</w:t>
      </w:r>
      <w:r w:rsidRPr="002806E2">
        <w:rPr>
          <w:rFonts w:hint="eastAsia"/>
          <w:sz w:val="24"/>
        </w:rPr>
        <w:t>仪器的定量</w:t>
      </w:r>
      <w:r w:rsidRPr="002806E2">
        <w:rPr>
          <w:sz w:val="24"/>
        </w:rPr>
        <w:t>限。</w:t>
      </w:r>
    </w:p>
    <w:p w14:paraId="5F42C279" w14:textId="77777777" w:rsidR="00E650CE" w:rsidRDefault="004938CB">
      <w:pPr>
        <w:pStyle w:val="af"/>
        <w:widowControl w:val="0"/>
        <w:numPr>
          <w:ilvl w:val="1"/>
          <w:numId w:val="2"/>
        </w:numPr>
        <w:ind w:firstLineChars="0"/>
        <w:jc w:val="both"/>
        <w:rPr>
          <w:rFonts w:ascii="Times New Roman" w:hAnsi="Times New Roman" w:cs="Times New Roman"/>
        </w:rPr>
      </w:pPr>
      <w:r>
        <w:rPr>
          <w:rFonts w:ascii="Times New Roman" w:hAnsi="Times New Roman" w:cs="Times New Roman" w:hint="eastAsia"/>
        </w:rPr>
        <w:t>滴定剂浓度</w:t>
      </w:r>
      <w:r>
        <w:rPr>
          <w:rFonts w:ascii="Times New Roman" w:hAnsi="Times New Roman" w:cs="Times New Roman"/>
        </w:rPr>
        <w:t>试验</w:t>
      </w:r>
    </w:p>
    <w:p w14:paraId="1F2B9305" w14:textId="77777777" w:rsidR="00E650CE" w:rsidRPr="002806E2" w:rsidRDefault="004938CB" w:rsidP="002806E2">
      <w:pPr>
        <w:pStyle w:val="af0"/>
        <w:spacing w:line="360" w:lineRule="auto"/>
        <w:ind w:firstLine="480"/>
        <w:rPr>
          <w:rFonts w:ascii="Times New Roman"/>
          <w:sz w:val="24"/>
          <w:szCs w:val="24"/>
        </w:rPr>
      </w:pPr>
      <w:bookmarkStart w:id="0" w:name="_Toc319581190"/>
      <w:bookmarkStart w:id="1" w:name="_Toc319571631"/>
      <w:r w:rsidRPr="002806E2">
        <w:rPr>
          <w:rStyle w:val="1Char"/>
          <w:rFonts w:hint="eastAsia"/>
          <w:sz w:val="24"/>
          <w:szCs w:val="24"/>
        </w:rPr>
        <w:t>硼酸是一种弱酸，不能用标准碱溶液直接进行定量滴定</w:t>
      </w:r>
      <w:r w:rsidRPr="002806E2">
        <w:rPr>
          <w:rFonts w:ascii="Times New Roman Regular" w:hAnsi="Times New Roman Regular" w:cs="Times New Roman Regular"/>
          <w:sz w:val="24"/>
          <w:szCs w:val="24"/>
        </w:rPr>
        <w:t>。</w:t>
      </w:r>
      <w:r w:rsidRPr="002806E2">
        <w:rPr>
          <w:rStyle w:val="1Char"/>
          <w:rFonts w:hint="eastAsia"/>
          <w:sz w:val="24"/>
          <w:szCs w:val="24"/>
        </w:rPr>
        <w:t>当硼酸溶液中加入甘露醇后，甘露醇会与硼酸生成络合酸，可转化成一种较强的酸，这时就可以用氢氧化钠标准溶液直接进行滴定，滴定仪在整个滴定过程中检测到</w:t>
      </w:r>
      <w:r w:rsidRPr="002806E2">
        <w:rPr>
          <w:rStyle w:val="1Char"/>
          <w:rFonts w:hint="eastAsia"/>
          <w:sz w:val="24"/>
          <w:szCs w:val="24"/>
        </w:rPr>
        <w:t>pH</w:t>
      </w:r>
      <w:r w:rsidRPr="002806E2">
        <w:rPr>
          <w:rStyle w:val="1Char"/>
          <w:rFonts w:hint="eastAsia"/>
          <w:sz w:val="24"/>
          <w:szCs w:val="24"/>
        </w:rPr>
        <w:t>变化率最大值时所对应的浓度为硼酸浓度，其反应式为</w:t>
      </w:r>
      <w:r w:rsidRPr="002806E2">
        <w:rPr>
          <w:rStyle w:val="1Char"/>
          <w:rFonts w:hint="eastAsia"/>
          <w:sz w:val="24"/>
          <w:szCs w:val="24"/>
        </w:rPr>
        <w:t>:</w:t>
      </w:r>
      <w:bookmarkEnd w:id="0"/>
      <w:bookmarkEnd w:id="1"/>
      <w:r w:rsidRPr="002806E2">
        <w:rPr>
          <w:rFonts w:ascii="Times New Roman" w:hint="eastAsia"/>
          <w:kern w:val="2"/>
          <w:sz w:val="24"/>
          <w:szCs w:val="24"/>
        </w:rPr>
        <w:t xml:space="preserve">  </w:t>
      </w:r>
      <w:r w:rsidRPr="002806E2">
        <w:rPr>
          <w:rFonts w:ascii="Times New Roman" w:hint="eastAsia"/>
          <w:sz w:val="24"/>
          <w:szCs w:val="24"/>
        </w:rPr>
        <w:t xml:space="preserve">  </w:t>
      </w:r>
    </w:p>
    <w:p w14:paraId="65B3F258" w14:textId="77777777" w:rsidR="00E650CE" w:rsidRDefault="004938CB">
      <w:pPr>
        <w:jc w:val="center"/>
        <w:rPr>
          <w:rFonts w:ascii="Times New Roman Regular" w:hAnsi="Times New Roman Regular" w:cs="Times New Roman Regular"/>
          <w:sz w:val="21"/>
          <w:szCs w:val="21"/>
        </w:rPr>
      </w:pPr>
      <w:bookmarkStart w:id="2" w:name="_Toc319571632"/>
      <w:bookmarkStart w:id="3" w:name="_Toc319581191"/>
      <w:r>
        <w:rPr>
          <w:rFonts w:ascii="Times New Roman Regular" w:hAnsi="Times New Roman Regular" w:cs="Times New Roman Regular"/>
          <w:sz w:val="21"/>
          <w:szCs w:val="21"/>
        </w:rPr>
        <w:t>C</w:t>
      </w:r>
      <w:r>
        <w:rPr>
          <w:rFonts w:ascii="Times New Roman Regular" w:hAnsi="Times New Roman Regular" w:cs="Times New Roman Regular"/>
          <w:sz w:val="21"/>
          <w:szCs w:val="21"/>
          <w:vertAlign w:val="subscript"/>
        </w:rPr>
        <w:t>6</w:t>
      </w:r>
      <w:r>
        <w:rPr>
          <w:rFonts w:ascii="Times New Roman Regular" w:hAnsi="Times New Roman Regular" w:cs="Times New Roman Regular"/>
          <w:sz w:val="21"/>
          <w:szCs w:val="21"/>
        </w:rPr>
        <w:t>H</w:t>
      </w:r>
      <w:r>
        <w:rPr>
          <w:rFonts w:ascii="Times New Roman Regular" w:hAnsi="Times New Roman Regular" w:cs="Times New Roman Regular"/>
          <w:sz w:val="21"/>
          <w:szCs w:val="21"/>
          <w:vertAlign w:val="subscript"/>
        </w:rPr>
        <w:t>8</w:t>
      </w:r>
      <w:r>
        <w:rPr>
          <w:rFonts w:ascii="Times New Roman Regular" w:hAnsi="Times New Roman Regular" w:cs="Times New Roman Regular"/>
          <w:sz w:val="21"/>
          <w:szCs w:val="21"/>
        </w:rPr>
        <w:t>(OH)</w:t>
      </w:r>
      <w:r>
        <w:rPr>
          <w:rFonts w:ascii="Times New Roman Regular" w:hAnsi="Times New Roman Regular" w:cs="Times New Roman Regular"/>
          <w:sz w:val="21"/>
          <w:szCs w:val="21"/>
          <w:vertAlign w:val="subscript"/>
        </w:rPr>
        <w:t>6</w:t>
      </w:r>
      <w:r>
        <w:rPr>
          <w:rFonts w:ascii="Times New Roman Regular" w:hAnsi="Times New Roman Regular" w:cs="Times New Roman Regular"/>
          <w:sz w:val="21"/>
          <w:szCs w:val="21"/>
        </w:rPr>
        <w:t xml:space="preserve"> + H</w:t>
      </w:r>
      <w:r>
        <w:rPr>
          <w:rFonts w:ascii="Times New Roman Regular" w:hAnsi="Times New Roman Regular" w:cs="Times New Roman Regular"/>
          <w:sz w:val="21"/>
          <w:szCs w:val="21"/>
          <w:vertAlign w:val="subscript"/>
        </w:rPr>
        <w:t>3</w:t>
      </w:r>
      <w:r>
        <w:rPr>
          <w:rFonts w:ascii="Times New Roman Regular" w:hAnsi="Times New Roman Regular" w:cs="Times New Roman Regular"/>
          <w:sz w:val="21"/>
          <w:szCs w:val="21"/>
        </w:rPr>
        <w:t>BO</w:t>
      </w:r>
      <w:r>
        <w:rPr>
          <w:rFonts w:ascii="Times New Roman Regular" w:hAnsi="Times New Roman Regular" w:cs="Times New Roman Regular"/>
          <w:sz w:val="21"/>
          <w:szCs w:val="21"/>
          <w:vertAlign w:val="subscript"/>
        </w:rPr>
        <w:t>3</w:t>
      </w:r>
      <w:r>
        <w:rPr>
          <w:rFonts w:ascii="Times New Roman Regular" w:hAnsi="Times New Roman Regular" w:cs="Times New Roman Regular"/>
          <w:sz w:val="21"/>
          <w:szCs w:val="21"/>
        </w:rPr>
        <w:t xml:space="preserve"> </w:t>
      </w:r>
      <w:r>
        <w:rPr>
          <w:rFonts w:ascii="Times New Roman Regular" w:eastAsia="方正舒体" w:hAnsi="Times New Roman Regular" w:cs="Times New Roman Regular"/>
          <w:sz w:val="21"/>
          <w:szCs w:val="21"/>
          <w:lang w:val="en-GB"/>
        </w:rPr>
        <w:t>→</w:t>
      </w:r>
      <w:r>
        <w:rPr>
          <w:rFonts w:ascii="Times New Roman Regular" w:hAnsi="Times New Roman Regular" w:cs="Times New Roman Regular"/>
          <w:sz w:val="21"/>
          <w:szCs w:val="21"/>
        </w:rPr>
        <w:t xml:space="preserve"> C</w:t>
      </w:r>
      <w:r>
        <w:rPr>
          <w:rFonts w:ascii="Times New Roman Regular" w:hAnsi="Times New Roman Regular" w:cs="Times New Roman Regular"/>
          <w:sz w:val="21"/>
          <w:szCs w:val="21"/>
          <w:vertAlign w:val="subscript"/>
        </w:rPr>
        <w:t>6</w:t>
      </w:r>
      <w:r>
        <w:rPr>
          <w:rFonts w:ascii="Times New Roman Regular" w:hAnsi="Times New Roman Regular" w:cs="Times New Roman Regular"/>
          <w:sz w:val="21"/>
          <w:szCs w:val="21"/>
        </w:rPr>
        <w:t>H</w:t>
      </w:r>
      <w:r>
        <w:rPr>
          <w:rFonts w:ascii="Times New Roman Regular" w:hAnsi="Times New Roman Regular" w:cs="Times New Roman Regular"/>
          <w:sz w:val="21"/>
          <w:szCs w:val="21"/>
          <w:vertAlign w:val="subscript"/>
        </w:rPr>
        <w:t>8</w:t>
      </w:r>
      <w:r>
        <w:rPr>
          <w:rFonts w:ascii="Times New Roman Regular" w:hAnsi="Times New Roman Regular" w:cs="Times New Roman Regular"/>
          <w:sz w:val="21"/>
          <w:szCs w:val="21"/>
        </w:rPr>
        <w:t>(OH)</w:t>
      </w:r>
      <w:r>
        <w:rPr>
          <w:rFonts w:ascii="Times New Roman Regular" w:hAnsi="Times New Roman Regular" w:cs="Times New Roman Regular"/>
          <w:sz w:val="21"/>
          <w:szCs w:val="21"/>
          <w:vertAlign w:val="subscript"/>
        </w:rPr>
        <w:t>4</w:t>
      </w:r>
      <w:r>
        <w:rPr>
          <w:rFonts w:ascii="Times New Roman Regular" w:hAnsi="Times New Roman Regular" w:cs="Times New Roman Regular"/>
          <w:sz w:val="21"/>
          <w:szCs w:val="21"/>
        </w:rPr>
        <w:t xml:space="preserve"> ·HBO</w:t>
      </w:r>
      <w:r>
        <w:rPr>
          <w:rFonts w:ascii="Times New Roman Regular" w:hAnsi="Times New Roman Regular" w:cs="Times New Roman Regular"/>
          <w:sz w:val="21"/>
          <w:szCs w:val="21"/>
          <w:vertAlign w:val="subscript"/>
        </w:rPr>
        <w:t>3</w:t>
      </w:r>
      <w:r>
        <w:rPr>
          <w:rFonts w:ascii="Times New Roman Regular" w:hAnsi="Times New Roman Regular" w:cs="Times New Roman Regular"/>
          <w:sz w:val="21"/>
          <w:szCs w:val="21"/>
        </w:rPr>
        <w:t xml:space="preserve"> + 2H</w:t>
      </w:r>
      <w:r>
        <w:rPr>
          <w:rFonts w:ascii="Times New Roman Regular" w:hAnsi="Times New Roman Regular" w:cs="Times New Roman Regular"/>
          <w:sz w:val="21"/>
          <w:szCs w:val="21"/>
          <w:vertAlign w:val="subscript"/>
        </w:rPr>
        <w:t>2</w:t>
      </w:r>
      <w:r>
        <w:rPr>
          <w:rFonts w:ascii="Times New Roman Regular" w:hAnsi="Times New Roman Regular" w:cs="Times New Roman Regular"/>
          <w:sz w:val="21"/>
          <w:szCs w:val="21"/>
        </w:rPr>
        <w:t>O</w:t>
      </w:r>
      <w:bookmarkEnd w:id="2"/>
      <w:bookmarkEnd w:id="3"/>
    </w:p>
    <w:p w14:paraId="4364F768" w14:textId="77777777" w:rsidR="00E650CE" w:rsidRDefault="004938CB">
      <w:pPr>
        <w:jc w:val="center"/>
        <w:rPr>
          <w:rFonts w:ascii="Times New Roman Regular" w:hAnsi="Times New Roman Regular" w:cs="Times New Roman Regular"/>
        </w:rPr>
      </w:pPr>
      <w:bookmarkStart w:id="4" w:name="_Toc319581192"/>
      <w:bookmarkStart w:id="5" w:name="_Toc319571633"/>
      <w:r>
        <w:rPr>
          <w:rFonts w:ascii="Times New Roman Regular" w:hAnsi="Times New Roman Regular" w:cs="Times New Roman Regular"/>
          <w:sz w:val="21"/>
          <w:szCs w:val="21"/>
        </w:rPr>
        <w:lastRenderedPageBreak/>
        <w:t>C</w:t>
      </w:r>
      <w:r>
        <w:rPr>
          <w:rFonts w:ascii="Times New Roman Regular" w:hAnsi="Times New Roman Regular" w:cs="Times New Roman Regular"/>
          <w:sz w:val="21"/>
          <w:szCs w:val="21"/>
          <w:vertAlign w:val="subscript"/>
        </w:rPr>
        <w:t>6</w:t>
      </w:r>
      <w:r>
        <w:rPr>
          <w:rFonts w:ascii="Times New Roman Regular" w:hAnsi="Times New Roman Regular" w:cs="Times New Roman Regular"/>
          <w:sz w:val="21"/>
          <w:szCs w:val="21"/>
        </w:rPr>
        <w:t>H</w:t>
      </w:r>
      <w:r>
        <w:rPr>
          <w:rFonts w:ascii="Times New Roman Regular" w:hAnsi="Times New Roman Regular" w:cs="Times New Roman Regular"/>
          <w:sz w:val="21"/>
          <w:szCs w:val="21"/>
          <w:vertAlign w:val="subscript"/>
        </w:rPr>
        <w:t>8</w:t>
      </w:r>
      <w:r>
        <w:rPr>
          <w:rFonts w:ascii="Times New Roman Regular" w:hAnsi="Times New Roman Regular" w:cs="Times New Roman Regular"/>
          <w:sz w:val="21"/>
          <w:szCs w:val="21"/>
        </w:rPr>
        <w:t>(OH)</w:t>
      </w:r>
      <w:r>
        <w:rPr>
          <w:rFonts w:ascii="Times New Roman Regular" w:hAnsi="Times New Roman Regular" w:cs="Times New Roman Regular"/>
          <w:sz w:val="21"/>
          <w:szCs w:val="21"/>
          <w:vertAlign w:val="subscript"/>
        </w:rPr>
        <w:t>4</w:t>
      </w:r>
      <w:r>
        <w:rPr>
          <w:rFonts w:ascii="Times New Roman Regular" w:hAnsi="Times New Roman Regular" w:cs="Times New Roman Regular"/>
          <w:sz w:val="21"/>
          <w:szCs w:val="21"/>
        </w:rPr>
        <w:t xml:space="preserve"> ·HBO</w:t>
      </w:r>
      <w:r>
        <w:rPr>
          <w:rFonts w:ascii="Times New Roman Regular" w:hAnsi="Times New Roman Regular" w:cs="Times New Roman Regular"/>
          <w:sz w:val="21"/>
          <w:szCs w:val="21"/>
          <w:vertAlign w:val="subscript"/>
        </w:rPr>
        <w:t>3</w:t>
      </w:r>
      <w:r>
        <w:rPr>
          <w:rFonts w:ascii="Times New Roman Regular" w:hAnsi="Times New Roman Regular" w:cs="Times New Roman Regular"/>
          <w:sz w:val="21"/>
          <w:szCs w:val="21"/>
        </w:rPr>
        <w:t xml:space="preserve"> + </w:t>
      </w:r>
      <w:proofErr w:type="gramStart"/>
      <w:r>
        <w:rPr>
          <w:rFonts w:ascii="Times New Roman Regular" w:hAnsi="Times New Roman Regular" w:cs="Times New Roman Regular"/>
          <w:sz w:val="21"/>
          <w:szCs w:val="21"/>
        </w:rPr>
        <w:t xml:space="preserve">NaOH  </w:t>
      </w:r>
      <w:r>
        <w:rPr>
          <w:rFonts w:ascii="Times New Roman Regular" w:eastAsia="方正舒体" w:hAnsi="Times New Roman Regular" w:cs="Times New Roman Regular"/>
          <w:sz w:val="21"/>
          <w:szCs w:val="21"/>
          <w:lang w:val="en-GB"/>
        </w:rPr>
        <w:t>→</w:t>
      </w:r>
      <w:proofErr w:type="gramEnd"/>
      <w:r>
        <w:rPr>
          <w:rFonts w:ascii="Times New Roman Regular" w:eastAsia="方正舒体" w:hAnsi="Times New Roman Regular" w:cs="Times New Roman Regular"/>
          <w:sz w:val="21"/>
          <w:szCs w:val="21"/>
        </w:rPr>
        <w:t xml:space="preserve"> </w:t>
      </w:r>
      <w:r>
        <w:rPr>
          <w:rFonts w:ascii="Times New Roman Regular" w:hAnsi="Times New Roman Regular" w:cs="Times New Roman Regular"/>
          <w:sz w:val="21"/>
          <w:szCs w:val="21"/>
        </w:rPr>
        <w:t>C</w:t>
      </w:r>
      <w:r>
        <w:rPr>
          <w:rFonts w:ascii="Times New Roman Regular" w:hAnsi="Times New Roman Regular" w:cs="Times New Roman Regular"/>
          <w:sz w:val="21"/>
          <w:szCs w:val="21"/>
          <w:vertAlign w:val="subscript"/>
        </w:rPr>
        <w:t>6</w:t>
      </w:r>
      <w:r>
        <w:rPr>
          <w:rFonts w:ascii="Times New Roman Regular" w:hAnsi="Times New Roman Regular" w:cs="Times New Roman Regular"/>
          <w:sz w:val="21"/>
          <w:szCs w:val="21"/>
        </w:rPr>
        <w:t>H</w:t>
      </w:r>
      <w:r>
        <w:rPr>
          <w:rFonts w:ascii="Times New Roman Regular" w:hAnsi="Times New Roman Regular" w:cs="Times New Roman Regular"/>
          <w:sz w:val="21"/>
          <w:szCs w:val="21"/>
          <w:vertAlign w:val="subscript"/>
        </w:rPr>
        <w:t>8</w:t>
      </w:r>
      <w:r>
        <w:rPr>
          <w:rFonts w:ascii="Times New Roman Regular" w:hAnsi="Times New Roman Regular" w:cs="Times New Roman Regular"/>
          <w:sz w:val="21"/>
          <w:szCs w:val="21"/>
        </w:rPr>
        <w:t>(OH)</w:t>
      </w:r>
      <w:r>
        <w:rPr>
          <w:rFonts w:ascii="Times New Roman Regular" w:hAnsi="Times New Roman Regular" w:cs="Times New Roman Regular"/>
          <w:sz w:val="21"/>
          <w:szCs w:val="21"/>
          <w:vertAlign w:val="subscript"/>
        </w:rPr>
        <w:t>4</w:t>
      </w:r>
      <w:r>
        <w:rPr>
          <w:rFonts w:ascii="Times New Roman Regular" w:hAnsi="Times New Roman Regular" w:cs="Times New Roman Regular"/>
          <w:sz w:val="21"/>
          <w:szCs w:val="21"/>
        </w:rPr>
        <w:t xml:space="preserve"> ·NaBO</w:t>
      </w:r>
      <w:r>
        <w:rPr>
          <w:rFonts w:ascii="Times New Roman Regular" w:hAnsi="Times New Roman Regular" w:cs="Times New Roman Regular"/>
          <w:sz w:val="21"/>
          <w:szCs w:val="21"/>
          <w:vertAlign w:val="subscript"/>
        </w:rPr>
        <w:t>3</w:t>
      </w:r>
      <w:r>
        <w:rPr>
          <w:rFonts w:ascii="Times New Roman Regular" w:hAnsi="Times New Roman Regular" w:cs="Times New Roman Regular"/>
          <w:sz w:val="21"/>
          <w:szCs w:val="21"/>
        </w:rPr>
        <w:t xml:space="preserve"> + H</w:t>
      </w:r>
      <w:r>
        <w:rPr>
          <w:rFonts w:ascii="Times New Roman Regular" w:hAnsi="Times New Roman Regular" w:cs="Times New Roman Regular"/>
          <w:sz w:val="21"/>
          <w:szCs w:val="21"/>
          <w:vertAlign w:val="subscript"/>
        </w:rPr>
        <w:t>2</w:t>
      </w:r>
      <w:r>
        <w:rPr>
          <w:rFonts w:ascii="Times New Roman Regular" w:hAnsi="Times New Roman Regular" w:cs="Times New Roman Regular"/>
          <w:sz w:val="21"/>
          <w:szCs w:val="21"/>
        </w:rPr>
        <w:t>O</w:t>
      </w:r>
      <w:bookmarkEnd w:id="4"/>
      <w:bookmarkEnd w:id="5"/>
    </w:p>
    <w:p w14:paraId="137417AB" w14:textId="77777777" w:rsidR="00E650CE" w:rsidRPr="002806E2" w:rsidRDefault="004938CB" w:rsidP="002806E2">
      <w:pPr>
        <w:pStyle w:val="af0"/>
        <w:spacing w:line="360" w:lineRule="auto"/>
        <w:ind w:firstLine="480"/>
        <w:rPr>
          <w:rFonts w:ascii="Times New Roman Regular" w:hAnsi="Times New Roman Regular" w:cs="Times New Roman Regular"/>
          <w:sz w:val="24"/>
          <w:szCs w:val="24"/>
        </w:rPr>
      </w:pPr>
      <w:r w:rsidRPr="002806E2">
        <w:rPr>
          <w:rFonts w:ascii="Times New Roman Regular" w:hAnsi="Times New Roman Regular" w:cs="Times New Roman Regular"/>
          <w:sz w:val="24"/>
          <w:szCs w:val="24"/>
        </w:rPr>
        <w:t>如果硼酸溶液里含有碱性物质或酸性物质时，需调整溶液</w:t>
      </w:r>
      <w:r w:rsidRPr="002806E2">
        <w:rPr>
          <w:rFonts w:ascii="Times New Roman Regular" w:hAnsi="Times New Roman Regular" w:cs="Times New Roman Regular"/>
          <w:sz w:val="24"/>
          <w:szCs w:val="24"/>
        </w:rPr>
        <w:t>pH</w:t>
      </w:r>
      <w:r w:rsidRPr="002806E2">
        <w:rPr>
          <w:rFonts w:ascii="Times New Roman Regular" w:hAnsi="Times New Roman Regular" w:cs="Times New Roman Regular"/>
          <w:sz w:val="24"/>
          <w:szCs w:val="24"/>
        </w:rPr>
        <w:t>值为</w:t>
      </w:r>
      <w:r w:rsidRPr="002806E2">
        <w:rPr>
          <w:rFonts w:ascii="Times New Roman Regular" w:hAnsi="Times New Roman Regular" w:cs="Times New Roman Regular"/>
          <w:sz w:val="24"/>
          <w:szCs w:val="24"/>
        </w:rPr>
        <w:t>5.4</w:t>
      </w:r>
      <w:r w:rsidRPr="002806E2">
        <w:rPr>
          <w:rFonts w:ascii="Times New Roman Regular" w:hAnsi="Times New Roman Regular" w:cs="Times New Roman Regular"/>
          <w:sz w:val="24"/>
          <w:szCs w:val="24"/>
        </w:rPr>
        <w:t>左右后，再进行滴定。为选择合适的滴定剂浓度，</w:t>
      </w:r>
      <w:r w:rsidRPr="002806E2">
        <w:rPr>
          <w:rFonts w:ascii="Times New Roman Regular" w:hAnsi="Times New Roman Regular" w:cs="Times New Roman Regular" w:hint="eastAsia"/>
          <w:sz w:val="24"/>
          <w:szCs w:val="24"/>
        </w:rPr>
        <w:t>设计对比两种浓度下的滴定数据。</w:t>
      </w:r>
    </w:p>
    <w:p w14:paraId="67BCA827" w14:textId="77777777" w:rsidR="00E650CE" w:rsidRPr="002806E2" w:rsidRDefault="004938CB" w:rsidP="002806E2">
      <w:pPr>
        <w:pStyle w:val="af0"/>
        <w:spacing w:line="360" w:lineRule="auto"/>
        <w:ind w:firstLine="480"/>
        <w:rPr>
          <w:rFonts w:ascii="Times New Roman Regular" w:hAnsi="Times New Roman Regular" w:cs="Times New Roman Regular"/>
          <w:sz w:val="24"/>
          <w:szCs w:val="24"/>
        </w:rPr>
      </w:pPr>
      <w:r w:rsidRPr="002806E2">
        <w:rPr>
          <w:rFonts w:ascii="Times New Roman Regular" w:hAnsi="Times New Roman Regular" w:cs="Times New Roman Regular"/>
          <w:sz w:val="24"/>
          <w:szCs w:val="24"/>
        </w:rPr>
        <w:t>称取</w:t>
      </w:r>
      <w:r w:rsidRPr="002806E2">
        <w:rPr>
          <w:rFonts w:ascii="Times New Roman Regular" w:hAnsi="Times New Roman Regular" w:cs="Times New Roman Regular"/>
          <w:sz w:val="24"/>
          <w:szCs w:val="24"/>
        </w:rPr>
        <w:t>4.0609g</w:t>
      </w:r>
      <w:r w:rsidRPr="002806E2">
        <w:rPr>
          <w:rFonts w:ascii="Times New Roman Regular" w:hAnsi="Times New Roman Regular" w:cs="Times New Roman Regular"/>
          <w:sz w:val="24"/>
          <w:szCs w:val="24"/>
        </w:rPr>
        <w:t>、</w:t>
      </w:r>
      <w:r w:rsidRPr="002806E2">
        <w:rPr>
          <w:rFonts w:ascii="Times New Roman Regular" w:hAnsi="Times New Roman Regular" w:cs="Times New Roman Regular"/>
          <w:sz w:val="24"/>
          <w:szCs w:val="24"/>
        </w:rPr>
        <w:t>0.4013g</w:t>
      </w:r>
      <w:r w:rsidRPr="002806E2">
        <w:rPr>
          <w:rFonts w:ascii="Times New Roman Regular" w:hAnsi="Times New Roman Regular" w:cs="Times New Roman Regular"/>
          <w:sz w:val="24"/>
          <w:szCs w:val="24"/>
        </w:rPr>
        <w:t>的固体氢氧化钠</w:t>
      </w:r>
      <w:r w:rsidRPr="002806E2">
        <w:rPr>
          <w:rFonts w:ascii="Times New Roman Regular" w:hAnsi="Times New Roman Regular" w:cs="Times New Roman Regular"/>
          <w:sz w:val="24"/>
          <w:szCs w:val="24"/>
        </w:rPr>
        <w:t>(</w:t>
      </w:r>
      <w:r w:rsidRPr="002806E2">
        <w:rPr>
          <w:rFonts w:ascii="Times New Roman Regular" w:hAnsi="Times New Roman Regular" w:cs="Times New Roman Regular"/>
          <w:bCs/>
          <w:sz w:val="24"/>
          <w:szCs w:val="24"/>
        </w:rPr>
        <w:t>GR</w:t>
      </w:r>
      <w:r w:rsidRPr="002806E2">
        <w:rPr>
          <w:rFonts w:ascii="Times New Roman Regular" w:hAnsi="Times New Roman Regular" w:cs="Times New Roman Regular"/>
          <w:sz w:val="24"/>
          <w:szCs w:val="24"/>
        </w:rPr>
        <w:t>，＞</w:t>
      </w:r>
      <w:r w:rsidRPr="002806E2">
        <w:rPr>
          <w:rFonts w:ascii="Times New Roman Regular" w:hAnsi="Times New Roman Regular" w:cs="Times New Roman Regular"/>
          <w:sz w:val="24"/>
          <w:szCs w:val="24"/>
        </w:rPr>
        <w:t>99%)</w:t>
      </w:r>
      <w:r w:rsidRPr="002806E2">
        <w:rPr>
          <w:rFonts w:ascii="Times New Roman Regular" w:hAnsi="Times New Roman Regular" w:cs="Times New Roman Regular"/>
          <w:sz w:val="24"/>
          <w:szCs w:val="24"/>
        </w:rPr>
        <w:t>溶于除盐水中，稀释至</w:t>
      </w:r>
      <w:r w:rsidRPr="002806E2">
        <w:rPr>
          <w:rFonts w:ascii="Times New Roman Regular" w:hAnsi="Times New Roman Regular" w:cs="Times New Roman Regular"/>
          <w:sz w:val="24"/>
          <w:szCs w:val="24"/>
        </w:rPr>
        <w:t>1L</w:t>
      </w:r>
      <w:r w:rsidRPr="002806E2">
        <w:rPr>
          <w:rFonts w:ascii="Times New Roman Regular" w:hAnsi="Times New Roman Regular" w:cs="Times New Roman Regular"/>
          <w:sz w:val="24"/>
          <w:szCs w:val="24"/>
        </w:rPr>
        <w:t>，配制成浓度分别为</w:t>
      </w:r>
      <w:r w:rsidRPr="002806E2">
        <w:rPr>
          <w:rFonts w:ascii="Times New Roman Regular" w:hAnsi="Times New Roman Regular" w:cs="Times New Roman Regular"/>
          <w:sz w:val="24"/>
          <w:szCs w:val="24"/>
        </w:rPr>
        <w:t>0.1mol/L</w:t>
      </w:r>
      <w:r w:rsidRPr="002806E2">
        <w:rPr>
          <w:rFonts w:ascii="Times New Roman Regular" w:hAnsi="Times New Roman Regular" w:cs="Times New Roman Regular"/>
          <w:sz w:val="24"/>
          <w:szCs w:val="24"/>
        </w:rPr>
        <w:t>、</w:t>
      </w:r>
      <w:r w:rsidRPr="002806E2">
        <w:rPr>
          <w:rFonts w:ascii="Times New Roman Regular" w:hAnsi="Times New Roman Regular" w:cs="Times New Roman Regular"/>
          <w:sz w:val="24"/>
          <w:szCs w:val="24"/>
        </w:rPr>
        <w:t xml:space="preserve">0.01mol/L </w:t>
      </w:r>
      <w:r w:rsidRPr="002806E2">
        <w:rPr>
          <w:rFonts w:ascii="Times New Roman Regular" w:hAnsi="Times New Roman Regular" w:cs="Times New Roman Regular"/>
          <w:sz w:val="24"/>
          <w:szCs w:val="24"/>
        </w:rPr>
        <w:t>氢氧化钠溶液，待标定。</w:t>
      </w:r>
    </w:p>
    <w:p w14:paraId="4B8BC060" w14:textId="77777777" w:rsidR="00E650CE" w:rsidRPr="002806E2" w:rsidRDefault="004938CB" w:rsidP="002806E2">
      <w:pPr>
        <w:pStyle w:val="1"/>
        <w:autoSpaceDE w:val="0"/>
        <w:autoSpaceDN w:val="0"/>
        <w:spacing w:line="360" w:lineRule="auto"/>
        <w:ind w:firstLine="480"/>
        <w:textAlignment w:val="center"/>
        <w:rPr>
          <w:bCs/>
          <w:sz w:val="24"/>
        </w:rPr>
      </w:pPr>
      <w:r w:rsidRPr="002806E2">
        <w:rPr>
          <w:rFonts w:ascii="Times New Roman Regular" w:hAnsi="Times New Roman Regular" w:cs="Times New Roman Regular" w:hint="eastAsia"/>
          <w:sz w:val="24"/>
        </w:rPr>
        <w:t>将</w:t>
      </w:r>
      <w:r w:rsidRPr="002806E2">
        <w:rPr>
          <w:rFonts w:hint="eastAsia"/>
          <w:bCs/>
          <w:sz w:val="24"/>
        </w:rPr>
        <w:t>用称量瓶装一定量的基准邻苯二甲酸氢钾</w:t>
      </w:r>
      <w:r w:rsidRPr="002806E2">
        <w:rPr>
          <w:rFonts w:hint="eastAsia"/>
          <w:bCs/>
          <w:sz w:val="24"/>
        </w:rPr>
        <w:t>(KHC</w:t>
      </w:r>
      <w:r w:rsidRPr="002806E2">
        <w:rPr>
          <w:rFonts w:hint="eastAsia"/>
          <w:bCs/>
          <w:sz w:val="24"/>
          <w:vertAlign w:val="subscript"/>
        </w:rPr>
        <w:t>8</w:t>
      </w:r>
      <w:r w:rsidRPr="002806E2">
        <w:rPr>
          <w:rFonts w:hint="eastAsia"/>
          <w:bCs/>
          <w:sz w:val="24"/>
        </w:rPr>
        <w:t>H</w:t>
      </w:r>
      <w:r w:rsidRPr="002806E2">
        <w:rPr>
          <w:rFonts w:hint="eastAsia"/>
          <w:bCs/>
          <w:sz w:val="24"/>
          <w:vertAlign w:val="subscript"/>
        </w:rPr>
        <w:t>4</w:t>
      </w:r>
      <w:r w:rsidRPr="002806E2">
        <w:rPr>
          <w:rFonts w:hint="eastAsia"/>
          <w:bCs/>
          <w:sz w:val="24"/>
        </w:rPr>
        <w:t>O</w:t>
      </w:r>
      <w:r w:rsidRPr="002806E2">
        <w:rPr>
          <w:rFonts w:hint="eastAsia"/>
          <w:bCs/>
          <w:sz w:val="24"/>
          <w:vertAlign w:val="subscript"/>
        </w:rPr>
        <w:t>4</w:t>
      </w:r>
      <w:r w:rsidRPr="002806E2">
        <w:rPr>
          <w:rFonts w:hint="eastAsia"/>
          <w:bCs/>
          <w:sz w:val="24"/>
        </w:rPr>
        <w:t xml:space="preserve">) </w:t>
      </w:r>
      <w:r w:rsidRPr="002806E2">
        <w:rPr>
          <w:rFonts w:hint="eastAsia"/>
          <w:bCs/>
          <w:sz w:val="24"/>
        </w:rPr>
        <w:t>在</w:t>
      </w:r>
      <w:r w:rsidRPr="002806E2">
        <w:rPr>
          <w:rFonts w:hint="eastAsia"/>
          <w:bCs/>
          <w:sz w:val="24"/>
        </w:rPr>
        <w:t>105</w:t>
      </w:r>
      <w:r w:rsidRPr="002806E2">
        <w:rPr>
          <w:bCs/>
          <w:sz w:val="24"/>
        </w:rPr>
        <w:t>~</w:t>
      </w:r>
      <w:r w:rsidRPr="002806E2">
        <w:rPr>
          <w:rFonts w:hint="eastAsia"/>
          <w:bCs/>
          <w:sz w:val="24"/>
        </w:rPr>
        <w:t>110</w:t>
      </w:r>
      <w:r w:rsidRPr="002806E2">
        <w:rPr>
          <w:bCs/>
          <w:sz w:val="24"/>
        </w:rPr>
        <w:t>℃</w:t>
      </w:r>
      <w:r w:rsidRPr="002806E2">
        <w:rPr>
          <w:rFonts w:hint="eastAsia"/>
          <w:bCs/>
          <w:sz w:val="24"/>
        </w:rPr>
        <w:t>温度下烘干至恒重备用。</w:t>
      </w:r>
      <w:r w:rsidRPr="002806E2">
        <w:rPr>
          <w:rFonts w:ascii="Times New Roman Regular" w:hAnsi="Times New Roman Regular" w:cs="Times New Roman Regular"/>
          <w:sz w:val="24"/>
        </w:rPr>
        <w:t>然后采用</w:t>
      </w:r>
      <w:r w:rsidRPr="002806E2">
        <w:rPr>
          <w:rFonts w:ascii="Times New Roman Regular" w:hAnsi="Times New Roman Regular" w:cs="Times New Roman Regular"/>
          <w:bCs/>
          <w:sz w:val="24"/>
        </w:rPr>
        <w:t>干燥洁净的</w:t>
      </w:r>
      <w:r w:rsidRPr="002806E2">
        <w:rPr>
          <w:rFonts w:ascii="Times New Roman Regular" w:hAnsi="Times New Roman Regular" w:cs="Times New Roman Regular"/>
          <w:bCs/>
          <w:sz w:val="24"/>
        </w:rPr>
        <w:t>100mL</w:t>
      </w:r>
      <w:r w:rsidRPr="002806E2">
        <w:rPr>
          <w:rFonts w:ascii="Times New Roman Regular" w:hAnsi="Times New Roman Regular" w:cs="Times New Roman Regular"/>
          <w:bCs/>
          <w:sz w:val="24"/>
        </w:rPr>
        <w:t>烧杯，分别称取基准邻苯二甲酸氢钾</w:t>
      </w:r>
      <w:r w:rsidRPr="002806E2">
        <w:rPr>
          <w:rFonts w:ascii="Times New Roman Regular" w:hAnsi="Times New Roman Regular" w:cs="Times New Roman Regular"/>
          <w:bCs/>
          <w:sz w:val="24"/>
        </w:rPr>
        <w:t>(KHC</w:t>
      </w:r>
      <w:r w:rsidRPr="002806E2">
        <w:rPr>
          <w:rFonts w:ascii="Times New Roman Regular" w:hAnsi="Times New Roman Regular" w:cs="Times New Roman Regular"/>
          <w:bCs/>
          <w:sz w:val="24"/>
          <w:vertAlign w:val="subscript"/>
        </w:rPr>
        <w:t>8</w:t>
      </w:r>
      <w:r w:rsidRPr="002806E2">
        <w:rPr>
          <w:rFonts w:ascii="Times New Roman Regular" w:hAnsi="Times New Roman Regular" w:cs="Times New Roman Regular"/>
          <w:bCs/>
          <w:sz w:val="24"/>
        </w:rPr>
        <w:t>H</w:t>
      </w:r>
      <w:r w:rsidRPr="002806E2">
        <w:rPr>
          <w:rFonts w:ascii="Times New Roman Regular" w:hAnsi="Times New Roman Regular" w:cs="Times New Roman Regular"/>
          <w:bCs/>
          <w:sz w:val="24"/>
          <w:vertAlign w:val="subscript"/>
        </w:rPr>
        <w:t>4</w:t>
      </w:r>
      <w:r w:rsidRPr="002806E2">
        <w:rPr>
          <w:rFonts w:ascii="Times New Roman Regular" w:hAnsi="Times New Roman Regular" w:cs="Times New Roman Regular"/>
          <w:bCs/>
          <w:sz w:val="24"/>
        </w:rPr>
        <w:t>O</w:t>
      </w:r>
      <w:r w:rsidRPr="002806E2">
        <w:rPr>
          <w:rFonts w:ascii="Times New Roman Regular" w:hAnsi="Times New Roman Regular" w:cs="Times New Roman Regular"/>
          <w:bCs/>
          <w:sz w:val="24"/>
          <w:vertAlign w:val="subscript"/>
        </w:rPr>
        <w:t>4</w:t>
      </w:r>
      <w:r w:rsidRPr="002806E2">
        <w:rPr>
          <w:rFonts w:ascii="Times New Roman Regular" w:hAnsi="Times New Roman Regular" w:cs="Times New Roman Regular"/>
          <w:bCs/>
          <w:sz w:val="24"/>
        </w:rPr>
        <w:t xml:space="preserve">)2.0477g </w:t>
      </w:r>
      <w:r w:rsidRPr="002806E2">
        <w:rPr>
          <w:rFonts w:ascii="Times New Roman Regular" w:hAnsi="Times New Roman Regular" w:cs="Times New Roman Regular"/>
          <w:bCs/>
          <w:sz w:val="24"/>
        </w:rPr>
        <w:t>、</w:t>
      </w:r>
      <w:r w:rsidRPr="002806E2">
        <w:rPr>
          <w:rFonts w:ascii="Times New Roman Regular" w:hAnsi="Times New Roman Regular" w:cs="Times New Roman Regular"/>
          <w:bCs/>
          <w:sz w:val="24"/>
        </w:rPr>
        <w:t>0.2061g</w:t>
      </w:r>
      <w:r w:rsidRPr="002806E2">
        <w:rPr>
          <w:rFonts w:ascii="Times New Roman Regular" w:hAnsi="Times New Roman Regular" w:cs="Times New Roman Regular"/>
          <w:bCs/>
          <w:sz w:val="24"/>
        </w:rPr>
        <w:t>，再加</w:t>
      </w:r>
      <w:r w:rsidRPr="002806E2">
        <w:rPr>
          <w:rFonts w:ascii="Times New Roman Regular" w:hAnsi="Times New Roman Regular" w:cs="Times New Roman Regular"/>
          <w:bCs/>
          <w:sz w:val="24"/>
        </w:rPr>
        <w:t>80mL</w:t>
      </w:r>
      <w:r w:rsidRPr="002806E2">
        <w:rPr>
          <w:rFonts w:ascii="Times New Roman Regular" w:hAnsi="Times New Roman Regular" w:cs="Times New Roman Regular"/>
          <w:bCs/>
          <w:sz w:val="24"/>
        </w:rPr>
        <w:t>除盐水完全溶解，转移至</w:t>
      </w:r>
      <w:r w:rsidRPr="002806E2">
        <w:rPr>
          <w:rFonts w:ascii="Times New Roman Regular" w:hAnsi="Times New Roman Regular" w:cs="Times New Roman Regular"/>
          <w:bCs/>
          <w:sz w:val="24"/>
        </w:rPr>
        <w:t>100mL</w:t>
      </w:r>
      <w:r w:rsidRPr="002806E2">
        <w:rPr>
          <w:rFonts w:ascii="Times New Roman Regular" w:hAnsi="Times New Roman Regular" w:cs="Times New Roman Regular"/>
          <w:bCs/>
          <w:sz w:val="24"/>
        </w:rPr>
        <w:t>容量瓶</w:t>
      </w:r>
      <w:r w:rsidRPr="002806E2">
        <w:rPr>
          <w:rFonts w:ascii="Times New Roman Regular" w:hAnsi="Times New Roman Regular" w:cs="Times New Roman Regular" w:hint="eastAsia"/>
          <w:bCs/>
          <w:sz w:val="24"/>
        </w:rPr>
        <w:t>进行</w:t>
      </w:r>
      <w:r w:rsidRPr="002806E2">
        <w:rPr>
          <w:rFonts w:ascii="Times New Roman Regular" w:hAnsi="Times New Roman Regular" w:cs="Times New Roman Regular"/>
          <w:bCs/>
          <w:sz w:val="24"/>
        </w:rPr>
        <w:t>定容</w:t>
      </w:r>
      <w:r w:rsidRPr="002806E2">
        <w:rPr>
          <w:rFonts w:hint="eastAsia"/>
          <w:bCs/>
          <w:sz w:val="24"/>
        </w:rPr>
        <w:t>，配制成浓度分别为</w:t>
      </w:r>
      <w:r w:rsidRPr="002806E2">
        <w:rPr>
          <w:rFonts w:ascii="Times New Roman Regular" w:hAnsi="Times New Roman Regular" w:cs="Times New Roman Regular"/>
          <w:sz w:val="24"/>
        </w:rPr>
        <w:t>0</w:t>
      </w:r>
      <w:r w:rsidRPr="002806E2">
        <w:rPr>
          <w:rFonts w:ascii="Times New Roman Regular" w:hAnsi="Times New Roman Regular" w:cs="Times New Roman Regular" w:hint="eastAsia"/>
          <w:sz w:val="24"/>
        </w:rPr>
        <w:t>.</w:t>
      </w:r>
      <w:r w:rsidRPr="002806E2">
        <w:rPr>
          <w:rFonts w:ascii="Times New Roman Regular" w:hAnsi="Times New Roman Regular" w:cs="Times New Roman Regular"/>
          <w:sz w:val="24"/>
        </w:rPr>
        <w:t>1003</w:t>
      </w:r>
      <w:r w:rsidRPr="002806E2">
        <w:rPr>
          <w:rFonts w:ascii="Times New Roman Regular" w:hAnsi="Times New Roman Regular" w:cs="Times New Roman Regular" w:hint="eastAsia"/>
          <w:sz w:val="24"/>
        </w:rPr>
        <w:t xml:space="preserve"> </w:t>
      </w:r>
      <w:r w:rsidRPr="002806E2">
        <w:rPr>
          <w:rFonts w:ascii="Times New Roman Regular" w:hAnsi="Times New Roman Regular" w:cs="Times New Roman Regular"/>
          <w:sz w:val="24"/>
        </w:rPr>
        <w:t>mol/L</w:t>
      </w:r>
      <w:r w:rsidRPr="002806E2">
        <w:rPr>
          <w:rFonts w:ascii="Times New Roman Regular" w:hAnsi="Times New Roman Regular" w:cs="Times New Roman Regular" w:hint="eastAsia"/>
          <w:sz w:val="24"/>
        </w:rPr>
        <w:t>、</w:t>
      </w:r>
      <w:r w:rsidRPr="002806E2">
        <w:rPr>
          <w:rFonts w:ascii="Times New Roman Regular" w:hAnsi="Times New Roman Regular" w:cs="Times New Roman Regular"/>
          <w:sz w:val="24"/>
        </w:rPr>
        <w:t>0</w:t>
      </w:r>
      <w:r w:rsidRPr="002806E2">
        <w:rPr>
          <w:rFonts w:ascii="Times New Roman Regular" w:hAnsi="Times New Roman Regular" w:cs="Times New Roman Regular" w:hint="eastAsia"/>
          <w:sz w:val="24"/>
        </w:rPr>
        <w:t>.</w:t>
      </w:r>
      <w:r w:rsidRPr="002806E2">
        <w:rPr>
          <w:rFonts w:ascii="Times New Roman Regular" w:hAnsi="Times New Roman Regular" w:cs="Times New Roman Regular"/>
          <w:sz w:val="24"/>
        </w:rPr>
        <w:t>0100</w:t>
      </w:r>
      <w:r w:rsidRPr="002806E2">
        <w:rPr>
          <w:rFonts w:ascii="Times New Roman Regular" w:hAnsi="Times New Roman Regular" w:cs="Times New Roman Regular" w:hint="eastAsia"/>
          <w:sz w:val="24"/>
        </w:rPr>
        <w:t xml:space="preserve"> </w:t>
      </w:r>
      <w:r w:rsidRPr="002806E2">
        <w:rPr>
          <w:rFonts w:ascii="Times New Roman Regular" w:hAnsi="Times New Roman Regular" w:cs="Times New Roman Regular"/>
          <w:sz w:val="24"/>
        </w:rPr>
        <w:t>mol/L</w:t>
      </w:r>
      <w:r w:rsidRPr="002806E2">
        <w:rPr>
          <w:rFonts w:ascii="Times New Roman Regular" w:hAnsi="Times New Roman Regular" w:cs="Times New Roman Regular" w:hint="eastAsia"/>
          <w:sz w:val="24"/>
        </w:rPr>
        <w:t>邻苯二甲酸氢钾。对</w:t>
      </w:r>
      <w:r w:rsidRPr="002806E2">
        <w:rPr>
          <w:rFonts w:hint="eastAsia"/>
          <w:bCs/>
          <w:sz w:val="24"/>
        </w:rPr>
        <w:t>氢氧化钠溶液进行标定，作三个平行样，取平均值。</w:t>
      </w:r>
      <w:r w:rsidRPr="002806E2">
        <w:rPr>
          <w:rFonts w:hint="eastAsia"/>
          <w:sz w:val="24"/>
        </w:rPr>
        <w:t>氢氧化钠</w:t>
      </w:r>
      <w:r w:rsidRPr="002806E2">
        <w:rPr>
          <w:rFonts w:hint="eastAsia"/>
          <w:bCs/>
          <w:sz w:val="24"/>
        </w:rPr>
        <w:t>标定三次结果与平均值的相对误差的绝对值不超过</w:t>
      </w:r>
      <w:r w:rsidRPr="002806E2">
        <w:rPr>
          <w:rFonts w:hint="eastAsia"/>
          <w:bCs/>
          <w:sz w:val="24"/>
        </w:rPr>
        <w:t>1%</w:t>
      </w:r>
      <w:r w:rsidRPr="002806E2">
        <w:rPr>
          <w:rFonts w:hint="eastAsia"/>
          <w:bCs/>
          <w:sz w:val="24"/>
        </w:rPr>
        <w:t>，如不符合要求，继续做平行测定，直至满足要求为止。</w:t>
      </w:r>
    </w:p>
    <w:p w14:paraId="4B600568" w14:textId="77777777" w:rsidR="00E650CE" w:rsidRPr="002806E2" w:rsidRDefault="004938CB" w:rsidP="002806E2">
      <w:pPr>
        <w:pStyle w:val="1"/>
        <w:autoSpaceDE w:val="0"/>
        <w:autoSpaceDN w:val="0"/>
        <w:spacing w:line="360" w:lineRule="auto"/>
        <w:ind w:firstLine="480"/>
        <w:textAlignment w:val="center"/>
        <w:rPr>
          <w:bCs/>
          <w:sz w:val="24"/>
        </w:rPr>
      </w:pPr>
      <w:r w:rsidRPr="002806E2">
        <w:rPr>
          <w:rFonts w:hint="eastAsia"/>
          <w:bCs/>
          <w:sz w:val="24"/>
        </w:rPr>
        <w:t>根据分析，氢氧化钠滴定剂标定结果如下表所示：</w:t>
      </w:r>
    </w:p>
    <w:tbl>
      <w:tblPr>
        <w:tblStyle w:val="ad"/>
        <w:tblW w:w="8330" w:type="dxa"/>
        <w:tblLayout w:type="fixed"/>
        <w:tblLook w:val="04A0" w:firstRow="1" w:lastRow="0" w:firstColumn="1" w:lastColumn="0" w:noHBand="0" w:noVBand="1"/>
      </w:tblPr>
      <w:tblGrid>
        <w:gridCol w:w="1384"/>
        <w:gridCol w:w="1418"/>
        <w:gridCol w:w="2409"/>
        <w:gridCol w:w="1701"/>
        <w:gridCol w:w="1418"/>
      </w:tblGrid>
      <w:tr w:rsidR="00E650CE" w:rsidRPr="00FD4527" w14:paraId="04CFFB9D" w14:textId="77777777" w:rsidTr="002806E2">
        <w:trPr>
          <w:trHeight w:val="611"/>
        </w:trPr>
        <w:tc>
          <w:tcPr>
            <w:tcW w:w="1384" w:type="dxa"/>
          </w:tcPr>
          <w:p w14:paraId="3DBC3B27"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样品</w:t>
            </w:r>
          </w:p>
          <w:p w14:paraId="79360EDF"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w:t>
            </w:r>
            <w:r w:rsidRPr="00FD4527">
              <w:rPr>
                <w:rFonts w:ascii="Times New Roman" w:hAnsi="Times New Roman" w:cs="Times New Roman"/>
                <w:sz w:val="21"/>
                <w:szCs w:val="21"/>
              </w:rPr>
              <w:t>氢氧化钠</w:t>
            </w:r>
            <w:r w:rsidRPr="00FD4527">
              <w:rPr>
                <w:rFonts w:ascii="Times New Roman" w:hAnsi="Times New Roman" w:cs="Times New Roman"/>
                <w:sz w:val="21"/>
                <w:szCs w:val="21"/>
              </w:rPr>
              <w:t>)</w:t>
            </w:r>
          </w:p>
        </w:tc>
        <w:tc>
          <w:tcPr>
            <w:tcW w:w="1418" w:type="dxa"/>
          </w:tcPr>
          <w:p w14:paraId="29E57AB2"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取样量</w:t>
            </w:r>
          </w:p>
          <w:p w14:paraId="63A0D7E7"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（氢氧化钠）</w:t>
            </w:r>
          </w:p>
        </w:tc>
        <w:tc>
          <w:tcPr>
            <w:tcW w:w="2409" w:type="dxa"/>
          </w:tcPr>
          <w:p w14:paraId="2C879F92"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滴定量</w:t>
            </w:r>
          </w:p>
          <w:p w14:paraId="6A017808"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（邻苯二甲酸氢钾）</w:t>
            </w:r>
          </w:p>
        </w:tc>
        <w:tc>
          <w:tcPr>
            <w:tcW w:w="1701" w:type="dxa"/>
          </w:tcPr>
          <w:p w14:paraId="5566BC7F" w14:textId="77777777" w:rsidR="00E650CE" w:rsidRPr="00FD4527" w:rsidRDefault="004938CB" w:rsidP="002806E2">
            <w:pPr>
              <w:widowControl w:val="0"/>
              <w:rPr>
                <w:rFonts w:ascii="Times New Roman" w:hAnsi="Times New Roman" w:cs="Times New Roman"/>
                <w:sz w:val="21"/>
                <w:szCs w:val="21"/>
              </w:rPr>
            </w:pPr>
            <w:r w:rsidRPr="00FD4527">
              <w:rPr>
                <w:rFonts w:ascii="Times New Roman" w:hAnsi="Times New Roman" w:cs="Times New Roman"/>
                <w:sz w:val="21"/>
                <w:szCs w:val="21"/>
              </w:rPr>
              <w:t>标定后浓度</w:t>
            </w:r>
          </w:p>
          <w:p w14:paraId="615A3C10" w14:textId="77777777" w:rsidR="00E650CE" w:rsidRPr="00FD4527" w:rsidRDefault="004938CB" w:rsidP="002806E2">
            <w:pPr>
              <w:widowControl w:val="0"/>
              <w:rPr>
                <w:rFonts w:ascii="Times New Roman" w:hAnsi="Times New Roman" w:cs="Times New Roman"/>
                <w:sz w:val="21"/>
                <w:szCs w:val="21"/>
                <w:highlight w:val="yellow"/>
              </w:rPr>
            </w:pPr>
            <w:r w:rsidRPr="00FD4527">
              <w:rPr>
                <w:rFonts w:ascii="Times New Roman" w:hAnsi="Times New Roman" w:cs="Times New Roman"/>
                <w:sz w:val="21"/>
                <w:szCs w:val="21"/>
              </w:rPr>
              <w:t>(</w:t>
            </w:r>
            <w:r w:rsidRPr="00FD4527">
              <w:rPr>
                <w:rFonts w:ascii="Times New Roman" w:hAnsi="Times New Roman" w:cs="Times New Roman"/>
                <w:sz w:val="21"/>
                <w:szCs w:val="21"/>
              </w:rPr>
              <w:t>氢氧化钠</w:t>
            </w:r>
            <w:r w:rsidRPr="00FD4527">
              <w:rPr>
                <w:rFonts w:ascii="Times New Roman" w:hAnsi="Times New Roman" w:cs="Times New Roman"/>
                <w:sz w:val="21"/>
                <w:szCs w:val="21"/>
              </w:rPr>
              <w:t>)</w:t>
            </w:r>
          </w:p>
        </w:tc>
        <w:tc>
          <w:tcPr>
            <w:tcW w:w="1418" w:type="dxa"/>
          </w:tcPr>
          <w:p w14:paraId="5DBF092D"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相对误差</w:t>
            </w:r>
            <w:r w:rsidRPr="00FD4527">
              <w:rPr>
                <w:rFonts w:ascii="Times New Roman" w:hAnsi="Times New Roman" w:cs="Times New Roman"/>
                <w:sz w:val="21"/>
                <w:szCs w:val="21"/>
              </w:rPr>
              <w:t>,%</w:t>
            </w:r>
          </w:p>
        </w:tc>
      </w:tr>
      <w:tr w:rsidR="00E650CE" w:rsidRPr="00FD4527" w14:paraId="3DB9C145" w14:textId="77777777" w:rsidTr="002806E2">
        <w:trPr>
          <w:trHeight w:val="308"/>
        </w:trPr>
        <w:tc>
          <w:tcPr>
            <w:tcW w:w="1384" w:type="dxa"/>
            <w:vMerge w:val="restart"/>
            <w:vAlign w:val="center"/>
          </w:tcPr>
          <w:p w14:paraId="39F4579B"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4.0609g/L</w:t>
            </w:r>
          </w:p>
        </w:tc>
        <w:tc>
          <w:tcPr>
            <w:tcW w:w="1418" w:type="dxa"/>
            <w:vMerge w:val="restart"/>
            <w:vAlign w:val="center"/>
          </w:tcPr>
          <w:p w14:paraId="6DD1972B"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5mL</w:t>
            </w:r>
          </w:p>
        </w:tc>
        <w:tc>
          <w:tcPr>
            <w:tcW w:w="2409" w:type="dxa"/>
            <w:vMerge w:val="restart"/>
            <w:vAlign w:val="center"/>
          </w:tcPr>
          <w:p w14:paraId="1CA13FDD" w14:textId="77777777" w:rsidR="002806E2"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4.935mL</w:t>
            </w:r>
            <w:r w:rsidRPr="00FD4527">
              <w:rPr>
                <w:rFonts w:ascii="Times New Roman" w:hAnsi="Times New Roman" w:cs="Times New Roman"/>
                <w:sz w:val="21"/>
                <w:szCs w:val="21"/>
              </w:rPr>
              <w:t>（</w:t>
            </w:r>
            <w:r w:rsidRPr="00FD4527">
              <w:rPr>
                <w:rFonts w:ascii="Times New Roman" w:hAnsi="Times New Roman" w:cs="Times New Roman"/>
                <w:sz w:val="21"/>
                <w:szCs w:val="21"/>
              </w:rPr>
              <w:t>0.1003mol/L</w:t>
            </w:r>
          </w:p>
          <w:p w14:paraId="711BC2D8"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邻苯二甲酸氢钾）</w:t>
            </w:r>
          </w:p>
        </w:tc>
        <w:tc>
          <w:tcPr>
            <w:tcW w:w="1701" w:type="dxa"/>
            <w:vMerge w:val="restart"/>
            <w:vAlign w:val="center"/>
          </w:tcPr>
          <w:p w14:paraId="510ED633"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0.0990mol/L</w:t>
            </w:r>
          </w:p>
        </w:tc>
        <w:tc>
          <w:tcPr>
            <w:tcW w:w="1418" w:type="dxa"/>
            <w:vAlign w:val="center"/>
          </w:tcPr>
          <w:p w14:paraId="413C3493"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0.10</w:t>
            </w:r>
          </w:p>
        </w:tc>
      </w:tr>
      <w:tr w:rsidR="00E650CE" w:rsidRPr="00FD4527" w14:paraId="776D2CF2" w14:textId="77777777" w:rsidTr="002806E2">
        <w:trPr>
          <w:trHeight w:val="308"/>
        </w:trPr>
        <w:tc>
          <w:tcPr>
            <w:tcW w:w="1384" w:type="dxa"/>
            <w:vMerge/>
            <w:vAlign w:val="center"/>
          </w:tcPr>
          <w:p w14:paraId="1A38540D" w14:textId="77777777" w:rsidR="00E650CE" w:rsidRPr="00FD4527" w:rsidRDefault="00E650CE">
            <w:pPr>
              <w:widowControl w:val="0"/>
              <w:jc w:val="center"/>
              <w:rPr>
                <w:rFonts w:ascii="Times New Roman" w:hAnsi="Times New Roman" w:cs="Times New Roman"/>
                <w:sz w:val="21"/>
                <w:szCs w:val="21"/>
              </w:rPr>
            </w:pPr>
          </w:p>
        </w:tc>
        <w:tc>
          <w:tcPr>
            <w:tcW w:w="1418" w:type="dxa"/>
            <w:vMerge/>
            <w:vAlign w:val="center"/>
          </w:tcPr>
          <w:p w14:paraId="7DFD4458" w14:textId="77777777" w:rsidR="00E650CE" w:rsidRPr="00FD4527" w:rsidRDefault="00E650CE">
            <w:pPr>
              <w:widowControl w:val="0"/>
              <w:jc w:val="center"/>
              <w:rPr>
                <w:rFonts w:ascii="Times New Roman" w:hAnsi="Times New Roman" w:cs="Times New Roman"/>
                <w:sz w:val="21"/>
                <w:szCs w:val="21"/>
              </w:rPr>
            </w:pPr>
          </w:p>
        </w:tc>
        <w:tc>
          <w:tcPr>
            <w:tcW w:w="2409" w:type="dxa"/>
            <w:vMerge/>
            <w:vAlign w:val="center"/>
          </w:tcPr>
          <w:p w14:paraId="7833EB10" w14:textId="77777777" w:rsidR="00E650CE" w:rsidRPr="00FD4527" w:rsidRDefault="00E650CE">
            <w:pPr>
              <w:widowControl w:val="0"/>
              <w:jc w:val="center"/>
              <w:rPr>
                <w:rFonts w:ascii="Times New Roman" w:hAnsi="Times New Roman" w:cs="Times New Roman"/>
                <w:sz w:val="21"/>
                <w:szCs w:val="21"/>
              </w:rPr>
            </w:pPr>
          </w:p>
        </w:tc>
        <w:tc>
          <w:tcPr>
            <w:tcW w:w="1701" w:type="dxa"/>
            <w:vMerge/>
            <w:vAlign w:val="center"/>
          </w:tcPr>
          <w:p w14:paraId="7ACDB1D4" w14:textId="77777777" w:rsidR="00E650CE" w:rsidRPr="00FD4527" w:rsidRDefault="00E650CE">
            <w:pPr>
              <w:widowControl w:val="0"/>
              <w:jc w:val="center"/>
              <w:rPr>
                <w:rFonts w:ascii="Times New Roman" w:hAnsi="Times New Roman" w:cs="Times New Roman"/>
                <w:sz w:val="21"/>
                <w:szCs w:val="21"/>
              </w:rPr>
            </w:pPr>
          </w:p>
        </w:tc>
        <w:tc>
          <w:tcPr>
            <w:tcW w:w="1418" w:type="dxa"/>
            <w:vAlign w:val="center"/>
          </w:tcPr>
          <w:p w14:paraId="402C1D4F"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-0.10</w:t>
            </w:r>
          </w:p>
        </w:tc>
      </w:tr>
      <w:tr w:rsidR="00E650CE" w:rsidRPr="00FD4527" w14:paraId="15202F72" w14:textId="77777777" w:rsidTr="002806E2">
        <w:trPr>
          <w:trHeight w:val="308"/>
        </w:trPr>
        <w:tc>
          <w:tcPr>
            <w:tcW w:w="1384" w:type="dxa"/>
            <w:vMerge/>
            <w:vAlign w:val="center"/>
          </w:tcPr>
          <w:p w14:paraId="32624A88" w14:textId="77777777" w:rsidR="00E650CE" w:rsidRPr="00FD4527" w:rsidRDefault="00E650CE">
            <w:pPr>
              <w:widowControl w:val="0"/>
              <w:jc w:val="center"/>
              <w:rPr>
                <w:rFonts w:ascii="Times New Roman" w:hAnsi="Times New Roman" w:cs="Times New Roman"/>
                <w:sz w:val="21"/>
                <w:szCs w:val="21"/>
              </w:rPr>
            </w:pPr>
          </w:p>
        </w:tc>
        <w:tc>
          <w:tcPr>
            <w:tcW w:w="1418" w:type="dxa"/>
            <w:vMerge/>
            <w:vAlign w:val="center"/>
          </w:tcPr>
          <w:p w14:paraId="7FD21EBE" w14:textId="77777777" w:rsidR="00E650CE" w:rsidRPr="00FD4527" w:rsidRDefault="00E650CE">
            <w:pPr>
              <w:widowControl w:val="0"/>
              <w:jc w:val="center"/>
              <w:rPr>
                <w:rFonts w:ascii="Times New Roman" w:hAnsi="Times New Roman" w:cs="Times New Roman"/>
                <w:sz w:val="21"/>
                <w:szCs w:val="21"/>
              </w:rPr>
            </w:pPr>
          </w:p>
        </w:tc>
        <w:tc>
          <w:tcPr>
            <w:tcW w:w="2409" w:type="dxa"/>
            <w:vMerge/>
            <w:vAlign w:val="center"/>
          </w:tcPr>
          <w:p w14:paraId="3AF248F9" w14:textId="77777777" w:rsidR="00E650CE" w:rsidRPr="00FD4527" w:rsidRDefault="00E650CE">
            <w:pPr>
              <w:widowControl w:val="0"/>
              <w:jc w:val="center"/>
              <w:rPr>
                <w:rFonts w:ascii="Times New Roman" w:hAnsi="Times New Roman" w:cs="Times New Roman"/>
                <w:sz w:val="21"/>
                <w:szCs w:val="21"/>
              </w:rPr>
            </w:pPr>
          </w:p>
        </w:tc>
        <w:tc>
          <w:tcPr>
            <w:tcW w:w="1701" w:type="dxa"/>
            <w:vMerge/>
            <w:vAlign w:val="center"/>
          </w:tcPr>
          <w:p w14:paraId="7BE64C4C" w14:textId="77777777" w:rsidR="00E650CE" w:rsidRPr="00FD4527" w:rsidRDefault="00E650CE">
            <w:pPr>
              <w:widowControl w:val="0"/>
              <w:jc w:val="center"/>
              <w:rPr>
                <w:rFonts w:ascii="Times New Roman" w:hAnsi="Times New Roman" w:cs="Times New Roman"/>
                <w:sz w:val="21"/>
                <w:szCs w:val="21"/>
              </w:rPr>
            </w:pPr>
          </w:p>
        </w:tc>
        <w:tc>
          <w:tcPr>
            <w:tcW w:w="1418" w:type="dxa"/>
            <w:vAlign w:val="center"/>
          </w:tcPr>
          <w:p w14:paraId="4D0A09A0"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0.10</w:t>
            </w:r>
          </w:p>
        </w:tc>
      </w:tr>
      <w:tr w:rsidR="00E650CE" w:rsidRPr="00FD4527" w14:paraId="7E251798" w14:textId="77777777" w:rsidTr="002806E2">
        <w:trPr>
          <w:trHeight w:val="312"/>
        </w:trPr>
        <w:tc>
          <w:tcPr>
            <w:tcW w:w="1384" w:type="dxa"/>
            <w:vMerge w:val="restart"/>
            <w:vAlign w:val="center"/>
          </w:tcPr>
          <w:p w14:paraId="0EC8E69C"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0.4013g/L</w:t>
            </w:r>
          </w:p>
        </w:tc>
        <w:tc>
          <w:tcPr>
            <w:tcW w:w="1418" w:type="dxa"/>
            <w:vMerge w:val="restart"/>
            <w:vAlign w:val="center"/>
          </w:tcPr>
          <w:p w14:paraId="4C439902"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5mL</w:t>
            </w:r>
          </w:p>
        </w:tc>
        <w:tc>
          <w:tcPr>
            <w:tcW w:w="2409" w:type="dxa"/>
            <w:vMerge w:val="restart"/>
            <w:vAlign w:val="center"/>
          </w:tcPr>
          <w:p w14:paraId="5851AD41" w14:textId="77777777" w:rsidR="002806E2"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4.75mL</w:t>
            </w:r>
            <w:r w:rsidRPr="00FD4527">
              <w:rPr>
                <w:rFonts w:ascii="Times New Roman" w:hAnsi="Times New Roman" w:cs="Times New Roman"/>
                <w:sz w:val="21"/>
                <w:szCs w:val="21"/>
              </w:rPr>
              <w:t>（</w:t>
            </w:r>
            <w:r w:rsidRPr="00FD4527">
              <w:rPr>
                <w:rFonts w:ascii="Times New Roman" w:hAnsi="Times New Roman" w:cs="Times New Roman"/>
                <w:sz w:val="21"/>
                <w:szCs w:val="21"/>
              </w:rPr>
              <w:t>0.0100mol/L</w:t>
            </w:r>
          </w:p>
          <w:p w14:paraId="5070740C"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邻苯二甲酸氢钾）</w:t>
            </w:r>
          </w:p>
        </w:tc>
        <w:tc>
          <w:tcPr>
            <w:tcW w:w="1701" w:type="dxa"/>
            <w:vMerge w:val="restart"/>
            <w:vAlign w:val="center"/>
          </w:tcPr>
          <w:p w14:paraId="0520DD9C" w14:textId="77777777" w:rsidR="00E650CE" w:rsidRPr="00FD4527" w:rsidRDefault="004938CB">
            <w:pPr>
              <w:widowControl w:val="0"/>
              <w:jc w:val="center"/>
              <w:rPr>
                <w:rFonts w:ascii="Times New Roman" w:hAnsi="Times New Roman" w:cs="Times New Roman"/>
                <w:sz w:val="21"/>
                <w:szCs w:val="21"/>
                <w:highlight w:val="yellow"/>
              </w:rPr>
            </w:pPr>
            <w:r w:rsidRPr="00FD4527">
              <w:rPr>
                <w:rFonts w:ascii="Times New Roman" w:hAnsi="Times New Roman" w:cs="Times New Roman"/>
                <w:sz w:val="21"/>
                <w:szCs w:val="21"/>
              </w:rPr>
              <w:t>0.0095mol/L</w:t>
            </w:r>
          </w:p>
        </w:tc>
        <w:tc>
          <w:tcPr>
            <w:tcW w:w="1418" w:type="dxa"/>
            <w:vAlign w:val="center"/>
          </w:tcPr>
          <w:p w14:paraId="58E256B4"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-0.42</w:t>
            </w:r>
          </w:p>
        </w:tc>
      </w:tr>
      <w:tr w:rsidR="00E650CE" w:rsidRPr="00FD4527" w14:paraId="7AE99BC8" w14:textId="77777777" w:rsidTr="002806E2">
        <w:trPr>
          <w:trHeight w:val="312"/>
        </w:trPr>
        <w:tc>
          <w:tcPr>
            <w:tcW w:w="1384" w:type="dxa"/>
            <w:vMerge/>
            <w:vAlign w:val="center"/>
          </w:tcPr>
          <w:p w14:paraId="70072B1C" w14:textId="77777777" w:rsidR="00E650CE" w:rsidRPr="00FD4527" w:rsidRDefault="00E650CE">
            <w:pPr>
              <w:widowControl w:val="0"/>
              <w:jc w:val="center"/>
              <w:rPr>
                <w:rFonts w:ascii="Times New Roman" w:hAnsi="Times New Roman" w:cs="Times New Roman"/>
                <w:sz w:val="21"/>
                <w:szCs w:val="21"/>
              </w:rPr>
            </w:pPr>
          </w:p>
        </w:tc>
        <w:tc>
          <w:tcPr>
            <w:tcW w:w="1418" w:type="dxa"/>
            <w:vMerge/>
            <w:vAlign w:val="center"/>
          </w:tcPr>
          <w:p w14:paraId="5E0DCBFA" w14:textId="77777777" w:rsidR="00E650CE" w:rsidRPr="00FD4527" w:rsidRDefault="00E650CE">
            <w:pPr>
              <w:widowControl w:val="0"/>
              <w:jc w:val="center"/>
              <w:rPr>
                <w:rFonts w:ascii="Times New Roman" w:hAnsi="Times New Roman" w:cs="Times New Roman"/>
                <w:sz w:val="21"/>
                <w:szCs w:val="21"/>
              </w:rPr>
            </w:pPr>
          </w:p>
        </w:tc>
        <w:tc>
          <w:tcPr>
            <w:tcW w:w="2409" w:type="dxa"/>
            <w:vMerge/>
            <w:vAlign w:val="center"/>
          </w:tcPr>
          <w:p w14:paraId="52572AEF" w14:textId="77777777" w:rsidR="00E650CE" w:rsidRPr="00FD4527" w:rsidRDefault="00E650CE">
            <w:pPr>
              <w:widowControl w:val="0"/>
              <w:jc w:val="center"/>
              <w:rPr>
                <w:rFonts w:ascii="Times New Roman" w:hAnsi="Times New Roman" w:cs="Times New Roman"/>
                <w:sz w:val="21"/>
                <w:szCs w:val="21"/>
              </w:rPr>
            </w:pPr>
          </w:p>
        </w:tc>
        <w:tc>
          <w:tcPr>
            <w:tcW w:w="1701" w:type="dxa"/>
            <w:vMerge/>
            <w:vAlign w:val="center"/>
          </w:tcPr>
          <w:p w14:paraId="7516E8FD" w14:textId="77777777" w:rsidR="00E650CE" w:rsidRPr="00FD4527" w:rsidRDefault="00E650CE">
            <w:pPr>
              <w:widowControl w:val="0"/>
              <w:jc w:val="center"/>
              <w:rPr>
                <w:rFonts w:ascii="Times New Roman" w:hAnsi="Times New Roman" w:cs="Times New Roman"/>
                <w:sz w:val="21"/>
                <w:szCs w:val="21"/>
              </w:rPr>
            </w:pPr>
          </w:p>
        </w:tc>
        <w:tc>
          <w:tcPr>
            <w:tcW w:w="1418" w:type="dxa"/>
            <w:vAlign w:val="center"/>
          </w:tcPr>
          <w:p w14:paraId="0AF52DC5"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0.74</w:t>
            </w:r>
          </w:p>
        </w:tc>
      </w:tr>
      <w:tr w:rsidR="00E650CE" w:rsidRPr="00FD4527" w14:paraId="091E897F" w14:textId="77777777" w:rsidTr="002806E2">
        <w:trPr>
          <w:trHeight w:val="312"/>
        </w:trPr>
        <w:tc>
          <w:tcPr>
            <w:tcW w:w="1384" w:type="dxa"/>
            <w:vMerge/>
            <w:vAlign w:val="center"/>
          </w:tcPr>
          <w:p w14:paraId="6F0A30DA" w14:textId="77777777" w:rsidR="00E650CE" w:rsidRPr="00FD4527" w:rsidRDefault="00E650CE">
            <w:pPr>
              <w:widowControl w:val="0"/>
              <w:jc w:val="center"/>
              <w:rPr>
                <w:rFonts w:ascii="Times New Roman" w:hAnsi="Times New Roman" w:cs="Times New Roman"/>
                <w:sz w:val="21"/>
                <w:szCs w:val="21"/>
              </w:rPr>
            </w:pPr>
          </w:p>
        </w:tc>
        <w:tc>
          <w:tcPr>
            <w:tcW w:w="1418" w:type="dxa"/>
            <w:vMerge/>
            <w:vAlign w:val="center"/>
          </w:tcPr>
          <w:p w14:paraId="75011C4B" w14:textId="77777777" w:rsidR="00E650CE" w:rsidRPr="00FD4527" w:rsidRDefault="00E650CE">
            <w:pPr>
              <w:widowControl w:val="0"/>
              <w:jc w:val="center"/>
              <w:rPr>
                <w:rFonts w:ascii="Times New Roman" w:hAnsi="Times New Roman" w:cs="Times New Roman"/>
                <w:sz w:val="21"/>
                <w:szCs w:val="21"/>
              </w:rPr>
            </w:pPr>
          </w:p>
        </w:tc>
        <w:tc>
          <w:tcPr>
            <w:tcW w:w="2409" w:type="dxa"/>
            <w:vMerge/>
            <w:vAlign w:val="center"/>
          </w:tcPr>
          <w:p w14:paraId="46A76840" w14:textId="77777777" w:rsidR="00E650CE" w:rsidRPr="00FD4527" w:rsidRDefault="00E650CE">
            <w:pPr>
              <w:widowControl w:val="0"/>
              <w:jc w:val="center"/>
              <w:rPr>
                <w:rFonts w:ascii="Times New Roman" w:hAnsi="Times New Roman" w:cs="Times New Roman"/>
                <w:sz w:val="21"/>
                <w:szCs w:val="21"/>
              </w:rPr>
            </w:pPr>
          </w:p>
        </w:tc>
        <w:tc>
          <w:tcPr>
            <w:tcW w:w="1701" w:type="dxa"/>
            <w:vMerge/>
            <w:vAlign w:val="center"/>
          </w:tcPr>
          <w:p w14:paraId="1F573498" w14:textId="77777777" w:rsidR="00E650CE" w:rsidRPr="00FD4527" w:rsidRDefault="00E650CE">
            <w:pPr>
              <w:widowControl w:val="0"/>
              <w:jc w:val="center"/>
              <w:rPr>
                <w:rFonts w:ascii="Times New Roman" w:hAnsi="Times New Roman" w:cs="Times New Roman"/>
                <w:sz w:val="21"/>
                <w:szCs w:val="21"/>
              </w:rPr>
            </w:pPr>
          </w:p>
        </w:tc>
        <w:tc>
          <w:tcPr>
            <w:tcW w:w="1418" w:type="dxa"/>
            <w:vAlign w:val="center"/>
          </w:tcPr>
          <w:p w14:paraId="6F8980C9" w14:textId="77777777" w:rsidR="00E650CE" w:rsidRPr="00FD4527" w:rsidRDefault="004938CB">
            <w:pPr>
              <w:widowControl w:val="0"/>
              <w:jc w:val="center"/>
              <w:rPr>
                <w:rFonts w:ascii="Times New Roman" w:hAnsi="Times New Roman" w:cs="Times New Roman"/>
                <w:sz w:val="21"/>
                <w:szCs w:val="21"/>
              </w:rPr>
            </w:pPr>
            <w:r w:rsidRPr="00FD4527">
              <w:rPr>
                <w:rFonts w:ascii="Times New Roman" w:hAnsi="Times New Roman" w:cs="Times New Roman"/>
                <w:sz w:val="21"/>
                <w:szCs w:val="21"/>
              </w:rPr>
              <w:t>-0.21</w:t>
            </w:r>
          </w:p>
        </w:tc>
      </w:tr>
    </w:tbl>
    <w:p w14:paraId="738D84F5" w14:textId="77777777" w:rsidR="00E650CE" w:rsidRDefault="00E650CE">
      <w:pPr>
        <w:pStyle w:val="1"/>
        <w:autoSpaceDE w:val="0"/>
        <w:autoSpaceDN w:val="0"/>
        <w:spacing w:line="360" w:lineRule="auto"/>
        <w:ind w:firstLineChars="0" w:firstLine="0"/>
        <w:textAlignment w:val="center"/>
        <w:rPr>
          <w:rFonts w:ascii="Times New Roman Regular" w:hAnsi="Times New Roman Regular" w:cs="Times New Roman Regular"/>
          <w:szCs w:val="21"/>
        </w:rPr>
      </w:pPr>
    </w:p>
    <w:p w14:paraId="17329135" w14:textId="77777777" w:rsidR="00E650CE" w:rsidRDefault="004938CB">
      <w:pPr>
        <w:tabs>
          <w:tab w:val="left" w:pos="6936"/>
        </w:tabs>
        <w:ind w:firstLineChars="200" w:firstLine="420"/>
        <w:rPr>
          <w:rFonts w:ascii="Times New Roman" w:hAnsi="Times New Roman" w:cs="Times New Roman"/>
          <w:highlight w:val="yellow"/>
        </w:rPr>
      </w:pPr>
      <w:r>
        <w:rPr>
          <w:rFonts w:ascii="Times New Roman Regular" w:hAnsi="Times New Roman Regular" w:cs="Times New Roman Regular"/>
          <w:sz w:val="21"/>
          <w:szCs w:val="21"/>
        </w:rPr>
        <w:t>称取</w:t>
      </w:r>
      <w:r>
        <w:rPr>
          <w:rFonts w:ascii="Times New Roman Regular" w:hAnsi="Times New Roman Regular" w:cs="Times New Roman Regular" w:hint="eastAsia"/>
          <w:sz w:val="21"/>
          <w:szCs w:val="21"/>
        </w:rPr>
        <w:t>5.0032g</w:t>
      </w:r>
      <w:r>
        <w:rPr>
          <w:rFonts w:ascii="Times New Roman Regular" w:hAnsi="Times New Roman Regular" w:cs="Times New Roman Regular" w:hint="eastAsia"/>
          <w:sz w:val="21"/>
          <w:szCs w:val="21"/>
        </w:rPr>
        <w:t>、</w:t>
      </w:r>
      <w:r>
        <w:rPr>
          <w:rFonts w:ascii="Times New Roman Regular" w:hAnsi="Times New Roman Regular" w:cs="Times New Roman Regular"/>
          <w:sz w:val="21"/>
          <w:szCs w:val="21"/>
        </w:rPr>
        <w:t>10.0039g</w:t>
      </w:r>
      <w:r>
        <w:rPr>
          <w:rFonts w:ascii="Times New Roman Regular" w:hAnsi="Times New Roman Regular" w:cs="Times New Roman Regular"/>
          <w:sz w:val="21"/>
          <w:szCs w:val="21"/>
        </w:rPr>
        <w:t>硼酸粉末（</w:t>
      </w:r>
      <w:r>
        <w:rPr>
          <w:rFonts w:ascii="Times New Roman Regular" w:hAnsi="Times New Roman Regular" w:cs="Times New Roman Regular"/>
          <w:sz w:val="21"/>
          <w:szCs w:val="21"/>
        </w:rPr>
        <w:t>GR</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≥99.8%</w:t>
      </w:r>
      <w:r>
        <w:rPr>
          <w:rFonts w:ascii="Times New Roman Regular" w:hAnsi="Times New Roman Regular" w:cs="Times New Roman Regular"/>
          <w:sz w:val="21"/>
          <w:szCs w:val="21"/>
        </w:rPr>
        <w:t>）</w:t>
      </w:r>
      <w:r>
        <w:rPr>
          <w:rFonts w:ascii="Times New Roman Regular" w:hAnsi="Times New Roman Regular" w:cs="Times New Roman Regular"/>
          <w:bCs/>
          <w:sz w:val="21"/>
          <w:szCs w:val="21"/>
        </w:rPr>
        <w:t>配置成</w:t>
      </w:r>
      <w:r>
        <w:rPr>
          <w:rFonts w:ascii="Times New Roman Regular" w:hAnsi="Times New Roman Regular" w:cs="Times New Roman Regular" w:hint="eastAsia"/>
          <w:bCs/>
          <w:sz w:val="21"/>
          <w:szCs w:val="21"/>
        </w:rPr>
        <w:t>5.0032</w:t>
      </w:r>
      <w:r>
        <w:rPr>
          <w:rFonts w:ascii="Times New Roman" w:hAnsi="Times New Roman" w:cs="Times New Roman" w:hint="eastAsia"/>
          <w:sz w:val="21"/>
          <w:szCs w:val="21"/>
        </w:rPr>
        <w:t>g/L</w:t>
      </w:r>
      <w:r>
        <w:rPr>
          <w:rFonts w:ascii="Times New Roman" w:hAnsi="Times New Roman" w:cs="Times New Roman" w:hint="eastAsia"/>
          <w:sz w:val="21"/>
          <w:szCs w:val="21"/>
        </w:rPr>
        <w:t>、</w:t>
      </w:r>
      <w:r>
        <w:rPr>
          <w:rFonts w:ascii="Times New Roman Regular" w:hAnsi="Times New Roman Regular" w:cs="Times New Roman Regular"/>
          <w:sz w:val="21"/>
          <w:szCs w:val="21"/>
        </w:rPr>
        <w:t>10.0039</w:t>
      </w:r>
      <w:r>
        <w:rPr>
          <w:rFonts w:ascii="Times New Roman" w:hAnsi="Times New Roman" w:cs="Times New Roman" w:hint="eastAsia"/>
          <w:sz w:val="21"/>
          <w:szCs w:val="21"/>
        </w:rPr>
        <w:t>g/L</w:t>
      </w:r>
      <w:r>
        <w:rPr>
          <w:rFonts w:ascii="Times New Roman Regular" w:hAnsi="Times New Roman Regular" w:cs="Times New Roman Regular"/>
          <w:bCs/>
          <w:sz w:val="21"/>
          <w:szCs w:val="21"/>
        </w:rPr>
        <w:t>硼酸标准溶液，移取</w:t>
      </w:r>
      <w:r>
        <w:rPr>
          <w:rFonts w:ascii="Times New Roman Regular" w:hAnsi="Times New Roman Regular" w:cs="Times New Roman Regular"/>
          <w:bCs/>
          <w:sz w:val="21"/>
          <w:szCs w:val="21"/>
        </w:rPr>
        <w:t>2mL</w:t>
      </w:r>
      <w:r>
        <w:rPr>
          <w:rFonts w:ascii="Times New Roman Regular" w:hAnsi="Times New Roman Regular" w:cs="Times New Roman Regular"/>
          <w:bCs/>
          <w:sz w:val="21"/>
          <w:szCs w:val="21"/>
        </w:rPr>
        <w:t>至</w:t>
      </w:r>
      <w:r>
        <w:rPr>
          <w:rFonts w:ascii="Times New Roman Regular" w:hAnsi="Times New Roman Regular" w:cs="Times New Roman Regular"/>
          <w:bCs/>
          <w:sz w:val="21"/>
          <w:szCs w:val="21"/>
        </w:rPr>
        <w:t>100mL</w:t>
      </w:r>
      <w:r>
        <w:rPr>
          <w:rFonts w:ascii="Times New Roman Regular" w:hAnsi="Times New Roman Regular" w:cs="Times New Roman Regular"/>
          <w:bCs/>
          <w:sz w:val="21"/>
          <w:szCs w:val="21"/>
        </w:rPr>
        <w:t>烧杯，</w:t>
      </w:r>
      <w:proofErr w:type="gramStart"/>
      <w:r>
        <w:rPr>
          <w:rFonts w:ascii="Times New Roman Regular" w:hAnsi="Times New Roman Regular" w:cs="Times New Roman Regular" w:hint="eastAsia"/>
          <w:sz w:val="21"/>
          <w:szCs w:val="21"/>
        </w:rPr>
        <w:t>然后加除盐水</w:t>
      </w:r>
      <w:proofErr w:type="gramEnd"/>
      <w:r>
        <w:rPr>
          <w:rFonts w:ascii="Times New Roman Regular" w:hAnsi="Times New Roman Regular" w:cs="Times New Roman Regular" w:hint="eastAsia"/>
          <w:sz w:val="21"/>
          <w:szCs w:val="21"/>
        </w:rPr>
        <w:t>至</w:t>
      </w:r>
      <w:r>
        <w:rPr>
          <w:rFonts w:ascii="Times New Roman Regular" w:hAnsi="Times New Roman Regular" w:cs="Times New Roman Regular" w:hint="eastAsia"/>
          <w:sz w:val="21"/>
          <w:szCs w:val="21"/>
        </w:rPr>
        <w:t>80mL</w:t>
      </w:r>
      <w:r>
        <w:rPr>
          <w:rFonts w:ascii="Times New Roman Regular" w:hAnsi="Times New Roman Regular" w:cs="Times New Roman Regular" w:hint="eastAsia"/>
          <w:sz w:val="21"/>
          <w:szCs w:val="21"/>
        </w:rPr>
        <w:t>体积，再加入适量甘露醇</w:t>
      </w:r>
      <w:r>
        <w:rPr>
          <w:rFonts w:ascii="Times New Roman Regular" w:hAnsi="Times New Roman Regular" w:cs="Times New Roman Regular"/>
          <w:sz w:val="21"/>
          <w:szCs w:val="21"/>
        </w:rPr>
        <w:t>加入</w:t>
      </w:r>
      <w:r>
        <w:rPr>
          <w:rFonts w:ascii="Times New Roman Regular" w:hAnsi="Times New Roman Regular" w:cs="Times New Roman Regular"/>
          <w:sz w:val="21"/>
          <w:szCs w:val="21"/>
        </w:rPr>
        <w:t>1g</w:t>
      </w:r>
      <w:r>
        <w:rPr>
          <w:rFonts w:ascii="Times New Roman Regular" w:hAnsi="Times New Roman Regular" w:cs="Times New Roman Regular"/>
          <w:sz w:val="21"/>
          <w:szCs w:val="21"/>
        </w:rPr>
        <w:t>左右的甘露醇（</w:t>
      </w:r>
      <w:r>
        <w:rPr>
          <w:rFonts w:ascii="Times New Roman Regular" w:hAnsi="Times New Roman Regular" w:cs="Times New Roman Regular"/>
          <w:sz w:val="21"/>
          <w:szCs w:val="21"/>
        </w:rPr>
        <w:t>AR</w:t>
      </w:r>
      <w:r>
        <w:rPr>
          <w:rFonts w:ascii="Times New Roman Regular" w:hAnsi="Times New Roman Regular" w:cs="Times New Roman Regular"/>
          <w:sz w:val="21"/>
          <w:szCs w:val="21"/>
        </w:rPr>
        <w:t>级），将复合电极和滴定管插入</w:t>
      </w:r>
      <w:r>
        <w:rPr>
          <w:rFonts w:ascii="Times New Roman Regular" w:hAnsi="Times New Roman Regular" w:cs="Times New Roman Regular"/>
          <w:sz w:val="21"/>
          <w:szCs w:val="21"/>
        </w:rPr>
        <w:t>100mL</w:t>
      </w:r>
      <w:r>
        <w:rPr>
          <w:rFonts w:ascii="Times New Roman Regular" w:hAnsi="Times New Roman Regular" w:cs="Times New Roman Regular"/>
          <w:sz w:val="21"/>
          <w:szCs w:val="21"/>
        </w:rPr>
        <w:t>烧杯中的溶液中，</w:t>
      </w:r>
      <w:r>
        <w:rPr>
          <w:rFonts w:ascii="Times New Roman Regular" w:hAnsi="Times New Roman Regular" w:cs="Times New Roman Regular"/>
          <w:bCs/>
          <w:sz w:val="21"/>
          <w:szCs w:val="21"/>
        </w:rPr>
        <w:t>分别采用已标定的</w:t>
      </w:r>
      <w:r>
        <w:rPr>
          <w:rFonts w:ascii="Times New Roman Regular" w:hAnsi="Times New Roman Regular" w:cs="Times New Roman Regular"/>
          <w:bCs/>
          <w:sz w:val="21"/>
          <w:szCs w:val="21"/>
        </w:rPr>
        <w:t>0.0990mol/L</w:t>
      </w:r>
      <w:r>
        <w:rPr>
          <w:rFonts w:ascii="Times New Roman Regular" w:hAnsi="Times New Roman Regular" w:cs="Times New Roman Regular"/>
          <w:bCs/>
          <w:sz w:val="21"/>
          <w:szCs w:val="21"/>
        </w:rPr>
        <w:t>、</w:t>
      </w:r>
      <w:r>
        <w:rPr>
          <w:rFonts w:ascii="Times New Roman Regular" w:hAnsi="Times New Roman Regular" w:cs="Times New Roman Regular"/>
          <w:bCs/>
          <w:sz w:val="21"/>
          <w:szCs w:val="21"/>
        </w:rPr>
        <w:t>0.0095mol/L</w:t>
      </w:r>
      <w:r>
        <w:rPr>
          <w:rFonts w:ascii="Times New Roman Regular" w:hAnsi="Times New Roman Regular" w:cs="Times New Roman Regular"/>
          <w:bCs/>
          <w:sz w:val="21"/>
          <w:szCs w:val="21"/>
        </w:rPr>
        <w:t>氢氧化钠</w:t>
      </w:r>
      <w:r>
        <w:rPr>
          <w:rFonts w:ascii="Times New Roman Regular" w:hAnsi="Times New Roman Regular" w:cs="Times New Roman Regular" w:hint="eastAsia"/>
          <w:bCs/>
          <w:sz w:val="21"/>
          <w:szCs w:val="21"/>
        </w:rPr>
        <w:t>滴定剂，</w:t>
      </w:r>
      <w:r>
        <w:rPr>
          <w:rFonts w:ascii="Times New Roman Regular" w:hAnsi="Times New Roman Regular" w:cs="Times New Roman Regular"/>
          <w:sz w:val="21"/>
          <w:szCs w:val="21"/>
        </w:rPr>
        <w:t>启动仪器开始自动滴定。</w:t>
      </w:r>
    </w:p>
    <w:p w14:paraId="09F96ECE" w14:textId="77777777" w:rsidR="00E650CE" w:rsidRDefault="004938CB">
      <w:pPr>
        <w:pStyle w:val="1"/>
        <w:autoSpaceDE w:val="0"/>
        <w:autoSpaceDN w:val="0"/>
        <w:spacing w:line="360" w:lineRule="auto"/>
        <w:textAlignment w:val="center"/>
      </w:pPr>
      <w:r>
        <w:rPr>
          <w:rFonts w:hint="eastAsia"/>
        </w:rPr>
        <w:t>分析数据</w:t>
      </w:r>
      <w:r>
        <w:t>如</w:t>
      </w:r>
      <w:r>
        <w:rPr>
          <w:rFonts w:hint="eastAsia"/>
        </w:rPr>
        <w:t>下表所示：</w:t>
      </w:r>
    </w:p>
    <w:tbl>
      <w:tblPr>
        <w:tblStyle w:val="ad"/>
        <w:tblW w:w="8472" w:type="dxa"/>
        <w:tblLook w:val="04A0" w:firstRow="1" w:lastRow="0" w:firstColumn="1" w:lastColumn="0" w:noHBand="0" w:noVBand="1"/>
      </w:tblPr>
      <w:tblGrid>
        <w:gridCol w:w="1329"/>
        <w:gridCol w:w="1614"/>
        <w:gridCol w:w="2268"/>
        <w:gridCol w:w="1560"/>
        <w:gridCol w:w="1701"/>
      </w:tblGrid>
      <w:tr w:rsidR="00E650CE" w14:paraId="3F58F67A" w14:textId="77777777" w:rsidTr="00C94C2E">
        <w:trPr>
          <w:trHeight w:val="914"/>
        </w:trPr>
        <w:tc>
          <w:tcPr>
            <w:tcW w:w="1329" w:type="dxa"/>
            <w:vAlign w:val="center"/>
          </w:tcPr>
          <w:p w14:paraId="411C926D" w14:textId="77777777" w:rsidR="00E650CE" w:rsidRDefault="004938CB">
            <w:pPr>
              <w:pStyle w:val="af"/>
              <w:ind w:firstLineChars="0" w:firstLine="0"/>
              <w:jc w:val="center"/>
              <w:rPr>
                <w:rFonts w:ascii="Times New Roman" w:hAnsi="Times New Roman" w:cs="Times New Roman"/>
                <w:sz w:val="18"/>
                <w:szCs w:val="22"/>
              </w:rPr>
            </w:pPr>
            <w:r>
              <w:rPr>
                <w:rFonts w:ascii="Times New Roman Regular" w:hAnsi="Times New Roman Regular" w:cs="Times New Roman Regular"/>
                <w:bCs/>
                <w:sz w:val="18"/>
                <w:szCs w:val="18"/>
              </w:rPr>
              <w:lastRenderedPageBreak/>
              <w:t>C</w:t>
            </w:r>
            <w:r>
              <w:rPr>
                <w:rFonts w:ascii="Times New Roman Regular" w:hAnsi="Times New Roman Regular" w:cs="Times New Roman Regular"/>
                <w:bCs/>
                <w:sz w:val="18"/>
                <w:szCs w:val="18"/>
                <w:vertAlign w:val="subscript"/>
              </w:rPr>
              <w:t>H3BO</w:t>
            </w:r>
            <w:proofErr w:type="gramStart"/>
            <w:r>
              <w:rPr>
                <w:rFonts w:ascii="Times New Roman Regular" w:hAnsi="Times New Roman Regular" w:cs="Times New Roman Regular"/>
                <w:bCs/>
                <w:sz w:val="18"/>
                <w:szCs w:val="18"/>
                <w:vertAlign w:val="subscript"/>
              </w:rPr>
              <w:t>3</w:t>
            </w:r>
            <w:r>
              <w:rPr>
                <w:rFonts w:ascii="Times New Roman Regular" w:hAnsi="Times New Roman Regular" w:cs="Times New Roman Regular"/>
                <w:bCs/>
                <w:sz w:val="18"/>
                <w:szCs w:val="18"/>
              </w:rPr>
              <w:t>( g</w:t>
            </w:r>
            <w:proofErr w:type="gramEnd"/>
            <w:r>
              <w:rPr>
                <w:rFonts w:ascii="Times New Roman Regular" w:hAnsi="Times New Roman Regular" w:cs="Times New Roman Regular"/>
                <w:bCs/>
                <w:sz w:val="18"/>
                <w:szCs w:val="18"/>
              </w:rPr>
              <w:t>/L)</w:t>
            </w:r>
          </w:p>
        </w:tc>
        <w:tc>
          <w:tcPr>
            <w:tcW w:w="1614" w:type="dxa"/>
            <w:vAlign w:val="center"/>
          </w:tcPr>
          <w:p w14:paraId="002A4548" w14:textId="77777777" w:rsidR="00E650CE" w:rsidRDefault="004938CB" w:rsidP="00C94C2E">
            <w:pPr>
              <w:pStyle w:val="af"/>
              <w:ind w:firstLineChars="0" w:firstLine="0"/>
              <w:rPr>
                <w:rFonts w:ascii="Times New Roman" w:hAnsi="Times New Roman" w:cs="Times New Roman"/>
                <w:sz w:val="18"/>
                <w:szCs w:val="22"/>
              </w:rPr>
            </w:pPr>
            <w:r>
              <w:rPr>
                <w:rFonts w:ascii="Times New Roman" w:hAnsi="Times New Roman" w:cs="Times New Roman" w:hint="eastAsia"/>
                <w:sz w:val="18"/>
                <w:szCs w:val="22"/>
              </w:rPr>
              <w:t>取样量</w:t>
            </w:r>
            <w:r>
              <w:rPr>
                <w:rFonts w:ascii="Times New Roman" w:hAnsi="Times New Roman" w:cs="Times New Roman" w:hint="eastAsia"/>
                <w:sz w:val="18"/>
                <w:szCs w:val="22"/>
              </w:rPr>
              <w:t>(</w:t>
            </w:r>
            <w:r>
              <w:rPr>
                <w:rFonts w:ascii="Times New Roman" w:hAnsi="Times New Roman" w:cs="Times New Roman" w:hint="eastAsia"/>
                <w:sz w:val="18"/>
                <w:szCs w:val="22"/>
              </w:rPr>
              <w:t>硼酸</w:t>
            </w:r>
            <w:r>
              <w:rPr>
                <w:rFonts w:ascii="Times New Roman" w:hAnsi="Times New Roman" w:cs="Times New Roman" w:hint="eastAsia"/>
                <w:sz w:val="18"/>
                <w:szCs w:val="22"/>
              </w:rPr>
              <w:t>)</w:t>
            </w:r>
          </w:p>
        </w:tc>
        <w:tc>
          <w:tcPr>
            <w:tcW w:w="2268" w:type="dxa"/>
            <w:vAlign w:val="center"/>
          </w:tcPr>
          <w:p w14:paraId="70B07AEC" w14:textId="77777777" w:rsidR="00E650CE" w:rsidRDefault="004938CB" w:rsidP="00C94C2E">
            <w:pPr>
              <w:pStyle w:val="af"/>
              <w:ind w:firstLineChars="0" w:firstLine="0"/>
              <w:rPr>
                <w:rFonts w:ascii="Times New Roman" w:hAnsi="Times New Roman" w:cs="Times New Roman"/>
                <w:sz w:val="18"/>
                <w:szCs w:val="22"/>
              </w:rPr>
            </w:pPr>
            <w:r>
              <w:rPr>
                <w:rFonts w:ascii="Times New Roman" w:hAnsi="Times New Roman" w:cs="Times New Roman" w:hint="eastAsia"/>
                <w:sz w:val="18"/>
                <w:szCs w:val="22"/>
              </w:rPr>
              <w:t>滴定量</w:t>
            </w:r>
            <w:r w:rsidR="00C94C2E">
              <w:rPr>
                <w:rFonts w:ascii="Times New Roman" w:hAnsi="Times New Roman" w:cs="Times New Roman" w:hint="eastAsia"/>
                <w:sz w:val="18"/>
                <w:szCs w:val="22"/>
              </w:rPr>
              <w:t>*/mL</w:t>
            </w:r>
            <w:r>
              <w:rPr>
                <w:rFonts w:ascii="Times New Roman" w:hAnsi="Times New Roman" w:cs="Times New Roman" w:hint="eastAsia"/>
                <w:sz w:val="18"/>
                <w:szCs w:val="22"/>
              </w:rPr>
              <w:t>（氢氧化钠</w:t>
            </w:r>
            <w:r>
              <w:rPr>
                <w:rFonts w:ascii="Times New Roman" w:hAnsi="Times New Roman" w:cs="Times New Roman" w:hint="eastAsia"/>
                <w:sz w:val="18"/>
                <w:szCs w:val="22"/>
              </w:rPr>
              <w:t xml:space="preserve"> </w:t>
            </w:r>
            <w:r>
              <w:rPr>
                <w:rFonts w:ascii="Times New Roman" w:hAnsi="Times New Roman" w:cs="Times New Roman" w:hint="eastAsia"/>
                <w:sz w:val="18"/>
                <w:szCs w:val="22"/>
              </w:rPr>
              <w:t>）</w:t>
            </w:r>
          </w:p>
        </w:tc>
        <w:tc>
          <w:tcPr>
            <w:tcW w:w="1560" w:type="dxa"/>
            <w:vAlign w:val="center"/>
          </w:tcPr>
          <w:p w14:paraId="3D68B08A" w14:textId="77777777" w:rsidR="00E650CE" w:rsidRDefault="004938CB" w:rsidP="00C94C2E">
            <w:pPr>
              <w:pStyle w:val="af"/>
              <w:ind w:firstLineChars="0" w:firstLine="0"/>
              <w:rPr>
                <w:rFonts w:ascii="Times New Roman" w:hAnsi="Times New Roman" w:cs="Times New Roman"/>
                <w:sz w:val="18"/>
                <w:szCs w:val="22"/>
              </w:rPr>
            </w:pPr>
            <w:r>
              <w:rPr>
                <w:rFonts w:ascii="Times New Roman" w:hAnsi="Times New Roman" w:cs="Times New Roman" w:hint="eastAsia"/>
                <w:sz w:val="18"/>
                <w:szCs w:val="22"/>
              </w:rPr>
              <w:t>滴定浓度</w:t>
            </w:r>
            <w:r>
              <w:rPr>
                <w:rFonts w:ascii="Times New Roman" w:hAnsi="Times New Roman" w:cs="Times New Roman" w:hint="eastAsia"/>
                <w:sz w:val="18"/>
                <w:szCs w:val="22"/>
              </w:rPr>
              <w:t>*</w:t>
            </w:r>
            <w:r>
              <w:rPr>
                <w:rFonts w:ascii="Times New Roman" w:hAnsi="Times New Roman" w:cs="Times New Roman" w:hint="eastAsia"/>
                <w:sz w:val="18"/>
                <w:szCs w:val="22"/>
              </w:rPr>
              <w:t>（</w:t>
            </w:r>
            <w:r>
              <w:rPr>
                <w:rFonts w:ascii="Times New Roman" w:hAnsi="Times New Roman" w:cs="Times New Roman"/>
                <w:sz w:val="18"/>
                <w:szCs w:val="22"/>
              </w:rPr>
              <w:t>g/L</w:t>
            </w:r>
            <w:r>
              <w:rPr>
                <w:rFonts w:ascii="Times New Roman" w:hAnsi="Times New Roman" w:cs="Times New Roman" w:hint="eastAsia"/>
                <w:sz w:val="18"/>
                <w:szCs w:val="22"/>
              </w:rPr>
              <w:t>）</w:t>
            </w:r>
          </w:p>
        </w:tc>
        <w:tc>
          <w:tcPr>
            <w:tcW w:w="1701" w:type="dxa"/>
            <w:vAlign w:val="center"/>
          </w:tcPr>
          <w:p w14:paraId="74496948"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测量</w:t>
            </w:r>
            <w:r>
              <w:rPr>
                <w:rFonts w:ascii="Times New Roman" w:hAnsi="Times New Roman" w:cs="Times New Roman"/>
                <w:sz w:val="18"/>
                <w:szCs w:val="22"/>
              </w:rPr>
              <w:t>偏差</w:t>
            </w:r>
          </w:p>
        </w:tc>
      </w:tr>
      <w:tr w:rsidR="00C94C2E" w14:paraId="0648FCB8" w14:textId="77777777" w:rsidTr="00C94C2E">
        <w:trPr>
          <w:trHeight w:val="609"/>
        </w:trPr>
        <w:tc>
          <w:tcPr>
            <w:tcW w:w="1329" w:type="dxa"/>
            <w:vMerge w:val="restart"/>
            <w:vAlign w:val="center"/>
          </w:tcPr>
          <w:p w14:paraId="52F481F5"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5.0032g/L</w:t>
            </w:r>
          </w:p>
        </w:tc>
        <w:tc>
          <w:tcPr>
            <w:tcW w:w="1614" w:type="dxa"/>
            <w:vAlign w:val="center"/>
          </w:tcPr>
          <w:p w14:paraId="092A7377"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2mL</w:t>
            </w:r>
          </w:p>
        </w:tc>
        <w:tc>
          <w:tcPr>
            <w:tcW w:w="2268" w:type="dxa"/>
            <w:vAlign w:val="center"/>
          </w:tcPr>
          <w:p w14:paraId="3C9C5F71"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4.363(0.0990mol/L)</w:t>
            </w:r>
          </w:p>
        </w:tc>
        <w:tc>
          <w:tcPr>
            <w:tcW w:w="1560" w:type="dxa"/>
            <w:vAlign w:val="center"/>
          </w:tcPr>
          <w:p w14:paraId="56064944"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5.3422</w:t>
            </w:r>
          </w:p>
        </w:tc>
        <w:tc>
          <w:tcPr>
            <w:tcW w:w="1701" w:type="dxa"/>
            <w:vAlign w:val="center"/>
          </w:tcPr>
          <w:p w14:paraId="4A35A007" w14:textId="77777777" w:rsidR="00C94C2E" w:rsidRDefault="00C94C2E">
            <w:pPr>
              <w:pStyle w:val="af"/>
              <w:ind w:firstLineChars="0" w:firstLine="0"/>
              <w:jc w:val="center"/>
              <w:rPr>
                <w:rFonts w:ascii="Times New Roman" w:hAnsi="Times New Roman" w:cs="Times New Roman"/>
                <w:sz w:val="18"/>
                <w:szCs w:val="22"/>
              </w:rPr>
            </w:pPr>
          </w:p>
        </w:tc>
      </w:tr>
      <w:tr w:rsidR="00C94C2E" w14:paraId="019973F8" w14:textId="77777777" w:rsidTr="00C94C2E">
        <w:trPr>
          <w:trHeight w:val="703"/>
        </w:trPr>
        <w:tc>
          <w:tcPr>
            <w:tcW w:w="1329" w:type="dxa"/>
            <w:vMerge/>
            <w:vAlign w:val="center"/>
          </w:tcPr>
          <w:p w14:paraId="3913DFF5" w14:textId="77777777" w:rsidR="00C94C2E" w:rsidRDefault="00C94C2E">
            <w:pPr>
              <w:pStyle w:val="af"/>
              <w:ind w:firstLineChars="0" w:firstLine="0"/>
              <w:jc w:val="center"/>
              <w:rPr>
                <w:rFonts w:ascii="Times New Roman" w:hAnsi="Times New Roman" w:cs="Times New Roman"/>
                <w:sz w:val="18"/>
                <w:szCs w:val="22"/>
              </w:rPr>
            </w:pPr>
          </w:p>
        </w:tc>
        <w:tc>
          <w:tcPr>
            <w:tcW w:w="1614" w:type="dxa"/>
            <w:vAlign w:val="center"/>
          </w:tcPr>
          <w:p w14:paraId="4A838DEC"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2mL</w:t>
            </w:r>
          </w:p>
        </w:tc>
        <w:tc>
          <w:tcPr>
            <w:tcW w:w="2268" w:type="dxa"/>
            <w:vAlign w:val="center"/>
          </w:tcPr>
          <w:p w14:paraId="33E8815C"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18.351(0.0095mol/L)</w:t>
            </w:r>
          </w:p>
        </w:tc>
        <w:tc>
          <w:tcPr>
            <w:tcW w:w="1560" w:type="dxa"/>
            <w:vAlign w:val="center"/>
          </w:tcPr>
          <w:p w14:paraId="79B76C1A"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5.3897</w:t>
            </w:r>
          </w:p>
        </w:tc>
        <w:tc>
          <w:tcPr>
            <w:tcW w:w="1701" w:type="dxa"/>
            <w:vAlign w:val="center"/>
          </w:tcPr>
          <w:p w14:paraId="0CBB1ECE" w14:textId="77777777" w:rsidR="00C94C2E" w:rsidRDefault="00C94C2E">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0.89%</w:t>
            </w:r>
          </w:p>
        </w:tc>
      </w:tr>
      <w:tr w:rsidR="00E650CE" w14:paraId="63A1CE87" w14:textId="77777777" w:rsidTr="00C94C2E">
        <w:trPr>
          <w:trHeight w:val="457"/>
        </w:trPr>
        <w:tc>
          <w:tcPr>
            <w:tcW w:w="1329" w:type="dxa"/>
            <w:vMerge w:val="restart"/>
            <w:vAlign w:val="center"/>
          </w:tcPr>
          <w:p w14:paraId="7702AE3B"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10.0039g/L</w:t>
            </w:r>
          </w:p>
        </w:tc>
        <w:tc>
          <w:tcPr>
            <w:tcW w:w="1614" w:type="dxa"/>
            <w:vAlign w:val="center"/>
          </w:tcPr>
          <w:p w14:paraId="3CE31608"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2mL</w:t>
            </w:r>
          </w:p>
        </w:tc>
        <w:tc>
          <w:tcPr>
            <w:tcW w:w="2268" w:type="dxa"/>
            <w:vAlign w:val="center"/>
          </w:tcPr>
          <w:p w14:paraId="6ED0F503"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3.407(0.0990mol/L)</w:t>
            </w:r>
          </w:p>
        </w:tc>
        <w:tc>
          <w:tcPr>
            <w:tcW w:w="1560" w:type="dxa"/>
            <w:vAlign w:val="center"/>
          </w:tcPr>
          <w:p w14:paraId="61547890"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10.4283</w:t>
            </w:r>
          </w:p>
        </w:tc>
        <w:tc>
          <w:tcPr>
            <w:tcW w:w="1701" w:type="dxa"/>
            <w:vMerge w:val="restart"/>
            <w:vAlign w:val="center"/>
          </w:tcPr>
          <w:p w14:paraId="00A20B8D"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0.10%</w:t>
            </w:r>
          </w:p>
        </w:tc>
      </w:tr>
      <w:tr w:rsidR="00E650CE" w14:paraId="4C2A1186" w14:textId="77777777" w:rsidTr="00C94C2E">
        <w:trPr>
          <w:trHeight w:val="457"/>
        </w:trPr>
        <w:tc>
          <w:tcPr>
            <w:tcW w:w="1329" w:type="dxa"/>
            <w:vMerge/>
            <w:vAlign w:val="center"/>
          </w:tcPr>
          <w:p w14:paraId="517CF4A0" w14:textId="77777777" w:rsidR="00E650CE" w:rsidRDefault="00E650CE">
            <w:pPr>
              <w:pStyle w:val="af"/>
              <w:ind w:firstLineChars="0" w:firstLine="0"/>
              <w:jc w:val="center"/>
              <w:rPr>
                <w:rFonts w:ascii="Times New Roman" w:hAnsi="Times New Roman" w:cs="Times New Roman"/>
                <w:sz w:val="18"/>
                <w:szCs w:val="22"/>
              </w:rPr>
            </w:pPr>
          </w:p>
        </w:tc>
        <w:tc>
          <w:tcPr>
            <w:tcW w:w="1614" w:type="dxa"/>
            <w:vAlign w:val="center"/>
          </w:tcPr>
          <w:p w14:paraId="41C16C6D"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2mL</w:t>
            </w:r>
          </w:p>
        </w:tc>
        <w:tc>
          <w:tcPr>
            <w:tcW w:w="2268" w:type="dxa"/>
            <w:vAlign w:val="center"/>
          </w:tcPr>
          <w:p w14:paraId="34696452"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35.539(0.0095mol/L)</w:t>
            </w:r>
          </w:p>
        </w:tc>
        <w:tc>
          <w:tcPr>
            <w:tcW w:w="1560" w:type="dxa"/>
            <w:vAlign w:val="center"/>
          </w:tcPr>
          <w:p w14:paraId="4A3A65A5" w14:textId="77777777" w:rsidR="00E650CE" w:rsidRDefault="004938CB">
            <w:pPr>
              <w:pStyle w:val="af"/>
              <w:ind w:firstLineChars="0" w:firstLine="0"/>
              <w:jc w:val="center"/>
              <w:rPr>
                <w:rFonts w:ascii="Times New Roman" w:hAnsi="Times New Roman" w:cs="Times New Roman"/>
                <w:sz w:val="18"/>
                <w:szCs w:val="22"/>
              </w:rPr>
            </w:pPr>
            <w:r>
              <w:rPr>
                <w:rFonts w:ascii="Times New Roman" w:hAnsi="Times New Roman" w:cs="Times New Roman" w:hint="eastAsia"/>
                <w:sz w:val="18"/>
                <w:szCs w:val="22"/>
              </w:rPr>
              <w:t>10.4380</w:t>
            </w:r>
          </w:p>
        </w:tc>
        <w:tc>
          <w:tcPr>
            <w:tcW w:w="1701" w:type="dxa"/>
            <w:vMerge/>
            <w:vAlign w:val="center"/>
          </w:tcPr>
          <w:p w14:paraId="3D5A4C33" w14:textId="77777777" w:rsidR="00E650CE" w:rsidRDefault="00E650CE">
            <w:pPr>
              <w:pStyle w:val="af"/>
              <w:ind w:firstLineChars="0" w:firstLine="0"/>
              <w:jc w:val="center"/>
              <w:rPr>
                <w:rFonts w:ascii="Times New Roman" w:hAnsi="Times New Roman" w:cs="Times New Roman"/>
                <w:sz w:val="18"/>
                <w:szCs w:val="22"/>
              </w:rPr>
            </w:pPr>
          </w:p>
        </w:tc>
      </w:tr>
    </w:tbl>
    <w:p w14:paraId="04EF2916" w14:textId="77777777" w:rsidR="00E650CE" w:rsidRDefault="004938CB">
      <w:pPr>
        <w:pStyle w:val="1"/>
        <w:autoSpaceDE w:val="0"/>
        <w:autoSpaceDN w:val="0"/>
        <w:spacing w:line="360" w:lineRule="auto"/>
        <w:ind w:firstLineChars="0" w:firstLine="0"/>
        <w:textAlignment w:val="center"/>
        <w:rPr>
          <w:sz w:val="20"/>
          <w:highlight w:val="yellow"/>
        </w:rPr>
      </w:pPr>
      <w:r>
        <w:rPr>
          <w:sz w:val="16"/>
        </w:rPr>
        <w:sym w:font="Wingdings 2" w:char="F0E1"/>
      </w:r>
      <w:r>
        <w:rPr>
          <w:sz w:val="16"/>
          <w:vertAlign w:val="superscript"/>
        </w:rPr>
        <w:t xml:space="preserve"> </w:t>
      </w:r>
      <w:r>
        <w:rPr>
          <w:rFonts w:hint="eastAsia"/>
          <w:sz w:val="20"/>
        </w:rPr>
        <w:t>平行</w:t>
      </w:r>
      <w:r>
        <w:rPr>
          <w:sz w:val="20"/>
        </w:rPr>
        <w:t>测量三组数据</w:t>
      </w:r>
      <w:r>
        <w:rPr>
          <w:rFonts w:hint="eastAsia"/>
          <w:sz w:val="20"/>
        </w:rPr>
        <w:t>所得。</w:t>
      </w:r>
    </w:p>
    <w:p w14:paraId="6607D794" w14:textId="77777777" w:rsidR="00E650CE" w:rsidRDefault="004938CB">
      <w:pPr>
        <w:pStyle w:val="1"/>
        <w:autoSpaceDE w:val="0"/>
        <w:autoSpaceDN w:val="0"/>
        <w:spacing w:line="360" w:lineRule="auto"/>
        <w:textAlignment w:val="center"/>
      </w:pPr>
      <w:r>
        <w:rPr>
          <w:rFonts w:hint="eastAsia"/>
        </w:rPr>
        <w:t>根据两种氢氧化钠滴定剂对硼酸溶液的滴定</w:t>
      </w:r>
      <w:r>
        <w:t>结果</w:t>
      </w:r>
      <w:r>
        <w:rPr>
          <w:rFonts w:hint="eastAsia"/>
        </w:rPr>
        <w:t>可以看到</w:t>
      </w:r>
      <w:r>
        <w:t>，</w:t>
      </w:r>
      <w:r>
        <w:rPr>
          <w:rFonts w:hint="eastAsia"/>
        </w:rPr>
        <w:t>在两种滴定剂浓度下</w:t>
      </w:r>
      <w:r>
        <w:t>，硼酸</w:t>
      </w:r>
      <w:r>
        <w:rPr>
          <w:rFonts w:hint="eastAsia"/>
        </w:rPr>
        <w:t>标准溶液的测量偏差均≤</w:t>
      </w:r>
      <w:r>
        <w:rPr>
          <w:rFonts w:hint="eastAsia"/>
        </w:rPr>
        <w:t>1</w:t>
      </w:r>
      <w:r>
        <w:t>%</w:t>
      </w:r>
      <w:r>
        <w:rPr>
          <w:rFonts w:hint="eastAsia"/>
        </w:rPr>
        <w:t>，</w:t>
      </w:r>
      <w:r>
        <w:t>可以认为</w:t>
      </w:r>
      <w:r>
        <w:rPr>
          <w:rFonts w:hint="eastAsia"/>
        </w:rPr>
        <w:t>两种滴定剂均可以实现对硼酸的准确滴定</w:t>
      </w:r>
      <w:r>
        <w:t>。</w:t>
      </w:r>
      <w:r>
        <w:rPr>
          <w:rFonts w:hint="eastAsia"/>
        </w:rPr>
        <w:t>滴定剂浓度较低时，滴定剂体积消耗量较大，注射泵吸取一次滴定剂可能无法完成一次滴定，导致滴定时间加长，不能更好的提高实验效率，因此确定采用</w:t>
      </w:r>
      <w:r>
        <w:rPr>
          <w:rFonts w:hint="eastAsia"/>
        </w:rPr>
        <w:t xml:space="preserve">0.0990 mol/L </w:t>
      </w:r>
      <w:r>
        <w:rPr>
          <w:rFonts w:hint="eastAsia"/>
        </w:rPr>
        <w:t>氢氧化钠作为一回路水冷却剂硼酸测量的滴定剂。</w:t>
      </w:r>
    </w:p>
    <w:p w14:paraId="55E63782" w14:textId="77777777" w:rsidR="00E650CE" w:rsidRDefault="004938CB">
      <w:pPr>
        <w:pStyle w:val="1"/>
        <w:autoSpaceDE w:val="0"/>
        <w:autoSpaceDN w:val="0"/>
        <w:spacing w:line="360" w:lineRule="auto"/>
        <w:textAlignment w:val="center"/>
      </w:pPr>
      <w:r>
        <w:rPr>
          <w:rFonts w:hint="eastAsia"/>
        </w:rPr>
        <w:t>小结</w:t>
      </w:r>
      <w:r>
        <w:t>：</w:t>
      </w:r>
    </w:p>
    <w:p w14:paraId="7BEC61E5" w14:textId="77777777" w:rsidR="00E650CE" w:rsidRDefault="004938CB">
      <w:pPr>
        <w:pStyle w:val="1"/>
        <w:autoSpaceDE w:val="0"/>
        <w:autoSpaceDN w:val="0"/>
        <w:spacing w:line="360" w:lineRule="auto"/>
        <w:textAlignment w:val="center"/>
      </w:pPr>
      <w:r>
        <w:rPr>
          <w:rFonts w:hint="eastAsia"/>
        </w:rPr>
        <w:t>可采用</w:t>
      </w:r>
      <w:r>
        <w:rPr>
          <w:rFonts w:hint="eastAsia"/>
        </w:rPr>
        <w:t xml:space="preserve">0.0990mol/L </w:t>
      </w:r>
      <w:r>
        <w:rPr>
          <w:rFonts w:hint="eastAsia"/>
        </w:rPr>
        <w:t>氢氧化钠标准溶液对一回路水中的硼酸进行测量</w:t>
      </w:r>
      <w:r>
        <w:t>。</w:t>
      </w:r>
      <w:r>
        <w:rPr>
          <w:rFonts w:hint="eastAsia"/>
        </w:rPr>
        <w:t>可以根据硼酸不同浓度范围修改取样体积，适应相同浓度的滴定剂，减少滴定剂的更换。</w:t>
      </w:r>
    </w:p>
    <w:p w14:paraId="36748F12" w14:textId="77777777" w:rsidR="00E650CE" w:rsidRDefault="004938CB">
      <w:pPr>
        <w:pStyle w:val="af"/>
        <w:widowControl w:val="0"/>
        <w:numPr>
          <w:ilvl w:val="1"/>
          <w:numId w:val="2"/>
        </w:numPr>
        <w:ind w:firstLineChars="0"/>
        <w:jc w:val="both"/>
        <w:rPr>
          <w:rFonts w:ascii="Times New Roman" w:hAnsi="Times New Roman" w:cs="Times New Roman"/>
        </w:rPr>
      </w:pPr>
      <w:r>
        <w:rPr>
          <w:rFonts w:ascii="Times New Roman" w:hAnsi="Times New Roman" w:cs="Times New Roman" w:hint="eastAsia"/>
        </w:rPr>
        <w:t>取样体积</w:t>
      </w:r>
      <w:r>
        <w:rPr>
          <w:rFonts w:ascii="Times New Roman" w:hAnsi="Times New Roman" w:cs="Times New Roman"/>
        </w:rPr>
        <w:t>试验</w:t>
      </w:r>
    </w:p>
    <w:p w14:paraId="30A16933" w14:textId="77777777" w:rsidR="00E650CE" w:rsidRDefault="004938CB">
      <w:pPr>
        <w:pStyle w:val="1"/>
        <w:autoSpaceDE w:val="0"/>
        <w:autoSpaceDN w:val="0"/>
        <w:spacing w:line="360" w:lineRule="auto"/>
        <w:textAlignment w:val="center"/>
      </w:pPr>
      <w:r>
        <w:rPr>
          <w:rFonts w:hint="eastAsia"/>
        </w:rPr>
        <w:t>为提高实验效率，采用一种滴定剂浓度，即</w:t>
      </w:r>
      <w:r>
        <w:rPr>
          <w:rFonts w:hint="eastAsia"/>
        </w:rPr>
        <w:t xml:space="preserve">0.0990mol/L </w:t>
      </w:r>
      <w:r>
        <w:rPr>
          <w:rFonts w:hint="eastAsia"/>
        </w:rPr>
        <w:t>氢氧化钠，但当硼酸浓度差别较大时，若取样体积相同，低浓度区间可能导致滴定剂体积较小，增大系统误差，此时应增大取样体积，而在高浓度区间，若取样体积较大，则导致滴定剂体积较大，增加滴定时间，降低实验效率，因此本试验在同一浓度滴定剂下，测定不同的硼酸浓度范围下的取样体积，观察滴定结果，优化实验过程。</w:t>
      </w:r>
    </w:p>
    <w:p w14:paraId="3B4DA431" w14:textId="77777777" w:rsidR="00E650CE" w:rsidRDefault="004938CB">
      <w:pPr>
        <w:pStyle w:val="1"/>
        <w:autoSpaceDE w:val="0"/>
        <w:autoSpaceDN w:val="0"/>
        <w:spacing w:line="360" w:lineRule="auto"/>
        <w:textAlignment w:val="center"/>
      </w:pPr>
      <w:r>
        <w:rPr>
          <w:rFonts w:hint="eastAsia"/>
        </w:rPr>
        <w:t>配制</w:t>
      </w:r>
      <w:r>
        <w:rPr>
          <w:rFonts w:hint="eastAsia"/>
        </w:rPr>
        <w:t>0.0152g/L(</w:t>
      </w:r>
      <w:r>
        <w:rPr>
          <w:rFonts w:hint="eastAsia"/>
        </w:rPr>
        <w:t>仪器定量限</w:t>
      </w:r>
      <w:r>
        <w:rPr>
          <w:rFonts w:hint="eastAsia"/>
        </w:rPr>
        <w:t>)</w:t>
      </w:r>
      <w:r>
        <w:rPr>
          <w:rFonts w:hint="eastAsia"/>
        </w:rPr>
        <w:t>、</w:t>
      </w:r>
      <w:r>
        <w:rPr>
          <w:rFonts w:hint="eastAsia"/>
        </w:rPr>
        <w:t>0.5025g/L</w:t>
      </w:r>
      <w:r>
        <w:rPr>
          <w:rFonts w:hint="eastAsia"/>
        </w:rPr>
        <w:t>、</w:t>
      </w:r>
      <w:r>
        <w:rPr>
          <w:rFonts w:hint="eastAsia"/>
        </w:rPr>
        <w:t>2.0121g/L</w:t>
      </w:r>
      <w:r>
        <w:rPr>
          <w:rFonts w:hint="eastAsia"/>
        </w:rPr>
        <w:t>、</w:t>
      </w:r>
      <w:r>
        <w:rPr>
          <w:rFonts w:hint="eastAsia"/>
        </w:rPr>
        <w:t>5.0032g/L</w:t>
      </w:r>
      <w:r>
        <w:rPr>
          <w:rFonts w:hint="eastAsia"/>
        </w:rPr>
        <w:t>、</w:t>
      </w:r>
      <w:r>
        <w:rPr>
          <w:rFonts w:hint="eastAsia"/>
        </w:rPr>
        <w:t>10.0183g/L</w:t>
      </w:r>
      <w:r>
        <w:rPr>
          <w:rFonts w:hint="eastAsia"/>
        </w:rPr>
        <w:t>、</w:t>
      </w:r>
      <w:r>
        <w:rPr>
          <w:rFonts w:hint="eastAsia"/>
        </w:rPr>
        <w:t>25.0198g/L</w:t>
      </w:r>
      <w:r>
        <w:rPr>
          <w:rFonts w:hint="eastAsia"/>
        </w:rPr>
        <w:t>，分别取样</w:t>
      </w:r>
      <w:r>
        <w:rPr>
          <w:rFonts w:hint="eastAsia"/>
        </w:rPr>
        <w:t>80mL</w:t>
      </w:r>
      <w:r>
        <w:rPr>
          <w:rFonts w:hint="eastAsia"/>
        </w:rPr>
        <w:t>、</w:t>
      </w:r>
      <w:r>
        <w:rPr>
          <w:rFonts w:hint="eastAsia"/>
        </w:rPr>
        <w:t>40mL</w:t>
      </w:r>
      <w:r>
        <w:rPr>
          <w:rFonts w:hint="eastAsia"/>
        </w:rPr>
        <w:t>、</w:t>
      </w:r>
      <w:r>
        <w:rPr>
          <w:rFonts w:hint="eastAsia"/>
        </w:rPr>
        <w:t>10mL</w:t>
      </w:r>
      <w:r>
        <w:rPr>
          <w:rFonts w:hint="eastAsia"/>
        </w:rPr>
        <w:t>、</w:t>
      </w:r>
      <w:r>
        <w:rPr>
          <w:rFonts w:hint="eastAsia"/>
        </w:rPr>
        <w:t>5mL</w:t>
      </w:r>
      <w:r>
        <w:rPr>
          <w:rFonts w:hint="eastAsia"/>
        </w:rPr>
        <w:t>、</w:t>
      </w:r>
      <w:r>
        <w:rPr>
          <w:rFonts w:hint="eastAsia"/>
        </w:rPr>
        <w:t>2mL</w:t>
      </w:r>
      <w:r>
        <w:rPr>
          <w:rFonts w:hint="eastAsia"/>
        </w:rPr>
        <w:t>至滴定杯内，分别加入</w:t>
      </w:r>
      <w:r>
        <w:rPr>
          <w:rFonts w:hint="eastAsia"/>
        </w:rPr>
        <w:t>1g</w:t>
      </w:r>
      <w:r>
        <w:rPr>
          <w:rFonts w:hint="eastAsia"/>
        </w:rPr>
        <w:t>甘露醇，采用</w:t>
      </w:r>
      <w:r>
        <w:rPr>
          <w:rFonts w:hint="eastAsia"/>
        </w:rPr>
        <w:t>0.0990mol/L</w:t>
      </w:r>
      <w:r>
        <w:rPr>
          <w:rFonts w:hint="eastAsia"/>
        </w:rPr>
        <w:t>氢氧化钠滴定剂进行滴定。</w:t>
      </w:r>
    </w:p>
    <w:p w14:paraId="2CA0BD66" w14:textId="77777777" w:rsidR="00E650CE" w:rsidRDefault="004938CB">
      <w:pPr>
        <w:pStyle w:val="1"/>
        <w:autoSpaceDE w:val="0"/>
        <w:autoSpaceDN w:val="0"/>
        <w:spacing w:line="360" w:lineRule="auto"/>
        <w:textAlignment w:val="center"/>
      </w:pPr>
      <w:r>
        <w:rPr>
          <w:rFonts w:hint="eastAsia"/>
        </w:rPr>
        <w:t>滴定结果</w:t>
      </w:r>
      <w:r>
        <w:t>如</w:t>
      </w:r>
      <w:r>
        <w:rPr>
          <w:rFonts w:hint="eastAsia"/>
        </w:rPr>
        <w:t>下表所示</w:t>
      </w:r>
      <w:r>
        <w:t>：</w:t>
      </w:r>
    </w:p>
    <w:tbl>
      <w:tblPr>
        <w:tblStyle w:val="ad"/>
        <w:tblW w:w="0" w:type="auto"/>
        <w:tblInd w:w="360" w:type="dxa"/>
        <w:tblLook w:val="04A0" w:firstRow="1" w:lastRow="0" w:firstColumn="1" w:lastColumn="0" w:noHBand="0" w:noVBand="1"/>
      </w:tblPr>
      <w:tblGrid>
        <w:gridCol w:w="1360"/>
        <w:gridCol w:w="1299"/>
        <w:gridCol w:w="1352"/>
        <w:gridCol w:w="1236"/>
        <w:gridCol w:w="1213"/>
        <w:gridCol w:w="1476"/>
      </w:tblGrid>
      <w:tr w:rsidR="00E650CE" w14:paraId="63A81C35" w14:textId="77777777">
        <w:tc>
          <w:tcPr>
            <w:tcW w:w="1368" w:type="dxa"/>
            <w:vAlign w:val="center"/>
          </w:tcPr>
          <w:p w14:paraId="2D8EC47A" w14:textId="77777777" w:rsidR="00E650CE" w:rsidRDefault="004938CB">
            <w:pPr>
              <w:pStyle w:val="af"/>
              <w:ind w:firstLineChars="0" w:firstLine="0"/>
              <w:jc w:val="center"/>
              <w:rPr>
                <w:rFonts w:ascii="Times New Roman Regular" w:hAnsi="Times New Roman Regular" w:cs="Times New Roman Regular"/>
                <w:sz w:val="18"/>
                <w:szCs w:val="18"/>
              </w:rPr>
            </w:pPr>
            <w:r>
              <w:rPr>
                <w:rFonts w:ascii="Times New Roman Regular" w:hAnsi="Times New Roman Regular" w:cs="Times New Roman Regular"/>
                <w:bCs/>
                <w:sz w:val="18"/>
                <w:szCs w:val="18"/>
              </w:rPr>
              <w:t>C</w:t>
            </w:r>
            <w:r>
              <w:rPr>
                <w:rFonts w:ascii="Times New Roman Regular" w:hAnsi="Times New Roman Regular" w:cs="Times New Roman Regular"/>
                <w:bCs/>
                <w:sz w:val="18"/>
                <w:szCs w:val="18"/>
                <w:vertAlign w:val="subscript"/>
              </w:rPr>
              <w:t>H3BO</w:t>
            </w:r>
            <w:proofErr w:type="gramStart"/>
            <w:r>
              <w:rPr>
                <w:rFonts w:ascii="Times New Roman Regular" w:hAnsi="Times New Roman Regular" w:cs="Times New Roman Regular"/>
                <w:bCs/>
                <w:sz w:val="18"/>
                <w:szCs w:val="18"/>
                <w:vertAlign w:val="subscript"/>
              </w:rPr>
              <w:t>3</w:t>
            </w:r>
            <w:r>
              <w:rPr>
                <w:rFonts w:ascii="Times New Roman Regular" w:hAnsi="Times New Roman Regular" w:cs="Times New Roman Regular"/>
                <w:bCs/>
                <w:sz w:val="18"/>
                <w:szCs w:val="18"/>
              </w:rPr>
              <w:t>( g</w:t>
            </w:r>
            <w:proofErr w:type="gramEnd"/>
            <w:r>
              <w:rPr>
                <w:rFonts w:ascii="Times New Roman Regular" w:hAnsi="Times New Roman Regular" w:cs="Times New Roman Regular"/>
                <w:bCs/>
                <w:sz w:val="18"/>
                <w:szCs w:val="18"/>
              </w:rPr>
              <w:t>/L)</w:t>
            </w:r>
          </w:p>
        </w:tc>
        <w:tc>
          <w:tcPr>
            <w:tcW w:w="1324" w:type="dxa"/>
            <w:vAlign w:val="center"/>
          </w:tcPr>
          <w:p w14:paraId="59144EAA"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取样体积</w:t>
            </w:r>
          </w:p>
        </w:tc>
        <w:tc>
          <w:tcPr>
            <w:tcW w:w="1367" w:type="dxa"/>
            <w:vAlign w:val="center"/>
          </w:tcPr>
          <w:p w14:paraId="7B1AC17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滴定体积</w:t>
            </w:r>
          </w:p>
        </w:tc>
        <w:tc>
          <w:tcPr>
            <w:tcW w:w="1253" w:type="dxa"/>
            <w:vAlign w:val="center"/>
          </w:tcPr>
          <w:p w14:paraId="4C7E1B00"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滴定浓度</w:t>
            </w:r>
            <w:r>
              <w:rPr>
                <w:rFonts w:ascii="Times New Roman Regular" w:hAnsi="Times New Roman Regular" w:cs="Times New Roman Regular"/>
                <w:bCs/>
                <w:sz w:val="18"/>
                <w:szCs w:val="18"/>
              </w:rPr>
              <w:t>( g/L)</w:t>
            </w:r>
          </w:p>
        </w:tc>
        <w:tc>
          <w:tcPr>
            <w:tcW w:w="1222" w:type="dxa"/>
            <w:vAlign w:val="center"/>
          </w:tcPr>
          <w:p w14:paraId="1CDE9E34"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标准</w:t>
            </w:r>
            <w:r>
              <w:rPr>
                <w:rFonts w:ascii="Times New Roman" w:hAnsi="Times New Roman" w:cs="Times New Roman"/>
                <w:sz w:val="18"/>
                <w:szCs w:val="18"/>
              </w:rPr>
              <w:t>偏差</w:t>
            </w:r>
          </w:p>
        </w:tc>
        <w:tc>
          <w:tcPr>
            <w:tcW w:w="1506" w:type="dxa"/>
            <w:vAlign w:val="center"/>
          </w:tcPr>
          <w:p w14:paraId="2367E425"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相对</w:t>
            </w:r>
            <w:r>
              <w:rPr>
                <w:rFonts w:ascii="Times New Roman" w:hAnsi="Times New Roman" w:cs="Times New Roman"/>
                <w:sz w:val="18"/>
                <w:szCs w:val="18"/>
              </w:rPr>
              <w:t>标准偏差</w:t>
            </w:r>
            <w:r>
              <w:rPr>
                <w:rFonts w:ascii="Times New Roman" w:hAnsi="Times New Roman" w:cs="Times New Roman"/>
                <w:sz w:val="18"/>
                <w:szCs w:val="18"/>
                <w:vertAlign w:val="superscript"/>
              </w:rPr>
              <w:sym w:font="Wingdings 2" w:char="F0E1"/>
            </w:r>
          </w:p>
        </w:tc>
      </w:tr>
      <w:tr w:rsidR="00E650CE" w14:paraId="58A80226" w14:textId="77777777">
        <w:tc>
          <w:tcPr>
            <w:tcW w:w="1368" w:type="dxa"/>
            <w:vAlign w:val="center"/>
          </w:tcPr>
          <w:p w14:paraId="434F0302"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0.0152</w:t>
            </w:r>
          </w:p>
        </w:tc>
        <w:tc>
          <w:tcPr>
            <w:tcW w:w="1324" w:type="dxa"/>
            <w:vAlign w:val="center"/>
          </w:tcPr>
          <w:p w14:paraId="493330D4"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80mL</w:t>
            </w:r>
          </w:p>
        </w:tc>
        <w:tc>
          <w:tcPr>
            <w:tcW w:w="1367" w:type="dxa"/>
            <w:vAlign w:val="center"/>
          </w:tcPr>
          <w:p w14:paraId="4BE50B55"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0.1817mL</w:t>
            </w:r>
          </w:p>
        </w:tc>
        <w:tc>
          <w:tcPr>
            <w:tcW w:w="1253" w:type="dxa"/>
            <w:vAlign w:val="center"/>
          </w:tcPr>
          <w:p w14:paraId="2CF09F4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0.0139</w:t>
            </w:r>
          </w:p>
        </w:tc>
        <w:tc>
          <w:tcPr>
            <w:tcW w:w="1222" w:type="dxa"/>
            <w:vAlign w:val="center"/>
          </w:tcPr>
          <w:p w14:paraId="261C74F7"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0.0007638</w:t>
            </w:r>
          </w:p>
        </w:tc>
        <w:tc>
          <w:tcPr>
            <w:tcW w:w="1506" w:type="dxa"/>
            <w:vAlign w:val="center"/>
          </w:tcPr>
          <w:p w14:paraId="2CBFE459"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8.13%</w:t>
            </w:r>
          </w:p>
        </w:tc>
      </w:tr>
      <w:tr w:rsidR="00E650CE" w14:paraId="305ADC18" w14:textId="77777777">
        <w:tc>
          <w:tcPr>
            <w:tcW w:w="1368" w:type="dxa"/>
            <w:vAlign w:val="center"/>
          </w:tcPr>
          <w:p w14:paraId="40674126"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lastRenderedPageBreak/>
              <w:t>0.5025</w:t>
            </w:r>
          </w:p>
        </w:tc>
        <w:tc>
          <w:tcPr>
            <w:tcW w:w="1324" w:type="dxa"/>
            <w:vAlign w:val="center"/>
          </w:tcPr>
          <w:p w14:paraId="543B245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40mL</w:t>
            </w:r>
          </w:p>
        </w:tc>
        <w:tc>
          <w:tcPr>
            <w:tcW w:w="1367" w:type="dxa"/>
            <w:vAlign w:val="center"/>
          </w:tcPr>
          <w:p w14:paraId="7BEF3AFB" w14:textId="77777777" w:rsidR="00E650CE" w:rsidRDefault="004938CB">
            <w:pPr>
              <w:jc w:val="center"/>
              <w:textAlignment w:val="center"/>
              <w:rPr>
                <w:rFonts w:ascii="Times New Roman Regular" w:hAnsi="Times New Roman Regular" w:cs="Times New Roman Regular"/>
                <w:sz w:val="18"/>
                <w:szCs w:val="18"/>
              </w:rPr>
            </w:pPr>
            <w:r>
              <w:rPr>
                <w:rFonts w:ascii="Times New Roman Regular" w:hAnsi="Times New Roman Regular" w:cs="Times New Roman Regular"/>
                <w:color w:val="000000"/>
                <w:kern w:val="0"/>
                <w:sz w:val="18"/>
                <w:szCs w:val="18"/>
              </w:rPr>
              <w:t xml:space="preserve">3.1992 </w:t>
            </w:r>
            <w:r>
              <w:rPr>
                <w:rFonts w:ascii="Times New Roman" w:hAnsi="Times New Roman" w:cs="Times New Roman" w:hint="eastAsia"/>
                <w:sz w:val="18"/>
                <w:szCs w:val="18"/>
              </w:rPr>
              <w:t>mL</w:t>
            </w:r>
          </w:p>
        </w:tc>
        <w:tc>
          <w:tcPr>
            <w:tcW w:w="1253" w:type="dxa"/>
            <w:vAlign w:val="center"/>
          </w:tcPr>
          <w:p w14:paraId="23B6B3A9"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0.4896</w:t>
            </w:r>
          </w:p>
        </w:tc>
        <w:tc>
          <w:tcPr>
            <w:tcW w:w="1222" w:type="dxa"/>
            <w:vAlign w:val="center"/>
          </w:tcPr>
          <w:p w14:paraId="33171344"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0.0005110</w:t>
            </w:r>
          </w:p>
        </w:tc>
        <w:tc>
          <w:tcPr>
            <w:tcW w:w="1506" w:type="dxa"/>
            <w:vAlign w:val="center"/>
          </w:tcPr>
          <w:p w14:paraId="174AEC60"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4.33%</w:t>
            </w:r>
          </w:p>
        </w:tc>
      </w:tr>
      <w:tr w:rsidR="00E650CE" w14:paraId="0EFDB0F4" w14:textId="77777777">
        <w:tc>
          <w:tcPr>
            <w:tcW w:w="1368" w:type="dxa"/>
            <w:vAlign w:val="center"/>
          </w:tcPr>
          <w:p w14:paraId="28BA478E"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2.0121</w:t>
            </w:r>
          </w:p>
        </w:tc>
        <w:tc>
          <w:tcPr>
            <w:tcW w:w="1324" w:type="dxa"/>
            <w:vAlign w:val="center"/>
          </w:tcPr>
          <w:p w14:paraId="0D57ED54"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10mL</w:t>
            </w:r>
          </w:p>
        </w:tc>
        <w:tc>
          <w:tcPr>
            <w:tcW w:w="1367" w:type="dxa"/>
            <w:vAlign w:val="center"/>
          </w:tcPr>
          <w:p w14:paraId="013861B9" w14:textId="77777777" w:rsidR="00E650CE" w:rsidRDefault="004938CB">
            <w:pPr>
              <w:jc w:val="center"/>
              <w:textAlignment w:val="center"/>
              <w:rPr>
                <w:rFonts w:ascii="Times New Roman Regular" w:hAnsi="Times New Roman Regular" w:cs="Times New Roman Regular"/>
                <w:sz w:val="18"/>
                <w:szCs w:val="18"/>
              </w:rPr>
            </w:pPr>
            <w:r>
              <w:rPr>
                <w:rFonts w:ascii="Times New Roman Regular" w:hAnsi="Times New Roman Regular" w:cs="Times New Roman Regular"/>
                <w:color w:val="000000"/>
                <w:kern w:val="0"/>
                <w:sz w:val="18"/>
                <w:szCs w:val="18"/>
              </w:rPr>
              <w:t xml:space="preserve">3.2388 </w:t>
            </w:r>
            <w:r>
              <w:rPr>
                <w:rFonts w:ascii="Times New Roman" w:hAnsi="Times New Roman" w:cs="Times New Roman" w:hint="eastAsia"/>
                <w:sz w:val="18"/>
                <w:szCs w:val="18"/>
              </w:rPr>
              <w:t>mL</w:t>
            </w:r>
          </w:p>
        </w:tc>
        <w:tc>
          <w:tcPr>
            <w:tcW w:w="1253" w:type="dxa"/>
            <w:vAlign w:val="center"/>
          </w:tcPr>
          <w:p w14:paraId="6B099E24"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1.9826</w:t>
            </w:r>
          </w:p>
        </w:tc>
        <w:tc>
          <w:tcPr>
            <w:tcW w:w="1222" w:type="dxa"/>
            <w:vAlign w:val="center"/>
          </w:tcPr>
          <w:p w14:paraId="6B04C429"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0.0055678</w:t>
            </w:r>
          </w:p>
        </w:tc>
        <w:tc>
          <w:tcPr>
            <w:tcW w:w="1506" w:type="dxa"/>
            <w:vAlign w:val="center"/>
          </w:tcPr>
          <w:p w14:paraId="30E652A7"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1.14%</w:t>
            </w:r>
          </w:p>
        </w:tc>
      </w:tr>
      <w:tr w:rsidR="00E650CE" w14:paraId="26A15F75" w14:textId="77777777">
        <w:tc>
          <w:tcPr>
            <w:tcW w:w="1368" w:type="dxa"/>
            <w:vAlign w:val="center"/>
          </w:tcPr>
          <w:p w14:paraId="357A43C7"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5.0032</w:t>
            </w:r>
          </w:p>
        </w:tc>
        <w:tc>
          <w:tcPr>
            <w:tcW w:w="1324" w:type="dxa"/>
            <w:vAlign w:val="center"/>
          </w:tcPr>
          <w:p w14:paraId="2E86F98B"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5mL</w:t>
            </w:r>
          </w:p>
        </w:tc>
        <w:tc>
          <w:tcPr>
            <w:tcW w:w="1367" w:type="dxa"/>
            <w:vAlign w:val="center"/>
          </w:tcPr>
          <w:p w14:paraId="0B201195" w14:textId="77777777" w:rsidR="00E650CE" w:rsidRDefault="004938CB">
            <w:pPr>
              <w:jc w:val="center"/>
              <w:textAlignment w:val="center"/>
              <w:rPr>
                <w:rFonts w:ascii="Times New Roman Regular" w:hAnsi="Times New Roman Regular" w:cs="Times New Roman Regular"/>
                <w:sz w:val="18"/>
                <w:szCs w:val="18"/>
              </w:rPr>
            </w:pPr>
            <w:r>
              <w:rPr>
                <w:rFonts w:ascii="Times New Roman Regular" w:hAnsi="Times New Roman Regular" w:cs="Times New Roman Regular"/>
                <w:color w:val="000000"/>
                <w:kern w:val="0"/>
                <w:sz w:val="18"/>
                <w:szCs w:val="18"/>
              </w:rPr>
              <w:t xml:space="preserve">4.1104 </w:t>
            </w:r>
            <w:r>
              <w:rPr>
                <w:rFonts w:ascii="Times New Roman" w:hAnsi="Times New Roman" w:cs="Times New Roman" w:hint="eastAsia"/>
                <w:sz w:val="18"/>
                <w:szCs w:val="18"/>
              </w:rPr>
              <w:t>mL</w:t>
            </w:r>
          </w:p>
        </w:tc>
        <w:tc>
          <w:tcPr>
            <w:tcW w:w="1253" w:type="dxa"/>
            <w:vAlign w:val="center"/>
          </w:tcPr>
          <w:p w14:paraId="684F2A90"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5.0323</w:t>
            </w:r>
          </w:p>
        </w:tc>
        <w:tc>
          <w:tcPr>
            <w:tcW w:w="1222" w:type="dxa"/>
            <w:vAlign w:val="center"/>
          </w:tcPr>
          <w:p w14:paraId="4020C14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0.0190526</w:t>
            </w:r>
          </w:p>
        </w:tc>
        <w:tc>
          <w:tcPr>
            <w:tcW w:w="1506" w:type="dxa"/>
            <w:vAlign w:val="center"/>
          </w:tcPr>
          <w:p w14:paraId="43A4DC39"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0.96%</w:t>
            </w:r>
          </w:p>
        </w:tc>
      </w:tr>
      <w:tr w:rsidR="00E650CE" w14:paraId="58366896" w14:textId="77777777">
        <w:tc>
          <w:tcPr>
            <w:tcW w:w="1368" w:type="dxa"/>
            <w:vAlign w:val="center"/>
          </w:tcPr>
          <w:p w14:paraId="17D7E2CC"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10.0183</w:t>
            </w:r>
          </w:p>
        </w:tc>
        <w:tc>
          <w:tcPr>
            <w:tcW w:w="1324" w:type="dxa"/>
            <w:vAlign w:val="center"/>
          </w:tcPr>
          <w:p w14:paraId="50247709"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2mL</w:t>
            </w:r>
          </w:p>
        </w:tc>
        <w:tc>
          <w:tcPr>
            <w:tcW w:w="1367" w:type="dxa"/>
            <w:vAlign w:val="center"/>
          </w:tcPr>
          <w:p w14:paraId="21F786B0" w14:textId="77777777" w:rsidR="00E650CE" w:rsidRDefault="004938CB">
            <w:pPr>
              <w:jc w:val="center"/>
              <w:textAlignment w:val="center"/>
              <w:rPr>
                <w:rFonts w:ascii="Times New Roman Regular" w:hAnsi="Times New Roman Regular" w:cs="Times New Roman Regular"/>
                <w:sz w:val="18"/>
                <w:szCs w:val="18"/>
              </w:rPr>
            </w:pPr>
            <w:r>
              <w:rPr>
                <w:rFonts w:ascii="Times New Roman Regular" w:hAnsi="Times New Roman Regular" w:cs="Times New Roman Regular"/>
                <w:color w:val="000000"/>
                <w:kern w:val="0"/>
                <w:sz w:val="18"/>
                <w:szCs w:val="18"/>
              </w:rPr>
              <w:t xml:space="preserve">3.4235 </w:t>
            </w:r>
            <w:r>
              <w:rPr>
                <w:rFonts w:ascii="Times New Roman" w:hAnsi="Times New Roman" w:cs="Times New Roman" w:hint="eastAsia"/>
                <w:sz w:val="18"/>
                <w:szCs w:val="18"/>
              </w:rPr>
              <w:t>mL</w:t>
            </w:r>
          </w:p>
        </w:tc>
        <w:tc>
          <w:tcPr>
            <w:tcW w:w="1253" w:type="dxa"/>
            <w:vAlign w:val="center"/>
          </w:tcPr>
          <w:p w14:paraId="2FF6CF6D"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10.4784</w:t>
            </w:r>
          </w:p>
        </w:tc>
        <w:tc>
          <w:tcPr>
            <w:tcW w:w="1222" w:type="dxa"/>
            <w:vAlign w:val="center"/>
          </w:tcPr>
          <w:p w14:paraId="2A8058F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0.0295813</w:t>
            </w:r>
          </w:p>
        </w:tc>
        <w:tc>
          <w:tcPr>
            <w:tcW w:w="1506" w:type="dxa"/>
            <w:vAlign w:val="center"/>
          </w:tcPr>
          <w:p w14:paraId="18E304A8"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0.59%</w:t>
            </w:r>
          </w:p>
        </w:tc>
      </w:tr>
      <w:tr w:rsidR="00E650CE" w14:paraId="01E80135" w14:textId="77777777">
        <w:tc>
          <w:tcPr>
            <w:tcW w:w="1368" w:type="dxa"/>
            <w:vAlign w:val="center"/>
          </w:tcPr>
          <w:p w14:paraId="3A572E3D"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25.0198</w:t>
            </w:r>
          </w:p>
        </w:tc>
        <w:tc>
          <w:tcPr>
            <w:tcW w:w="1324" w:type="dxa"/>
            <w:vAlign w:val="center"/>
          </w:tcPr>
          <w:p w14:paraId="3D95BBA4"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1mL</w:t>
            </w:r>
          </w:p>
        </w:tc>
        <w:tc>
          <w:tcPr>
            <w:tcW w:w="1367" w:type="dxa"/>
            <w:vAlign w:val="center"/>
          </w:tcPr>
          <w:p w14:paraId="344C687B" w14:textId="77777777" w:rsidR="00E650CE" w:rsidRDefault="004938CB">
            <w:pPr>
              <w:jc w:val="center"/>
              <w:textAlignment w:val="center"/>
              <w:rPr>
                <w:rFonts w:ascii="Times New Roman Regular" w:hAnsi="Times New Roman Regular" w:cs="Times New Roman Regular"/>
                <w:sz w:val="18"/>
                <w:szCs w:val="18"/>
              </w:rPr>
            </w:pPr>
            <w:r>
              <w:rPr>
                <w:rFonts w:ascii="Times New Roman Regular" w:hAnsi="Times New Roman Regular" w:cs="Times New Roman Regular"/>
                <w:color w:val="000000"/>
                <w:kern w:val="0"/>
                <w:sz w:val="18"/>
                <w:szCs w:val="18"/>
              </w:rPr>
              <w:t xml:space="preserve">4.1859 </w:t>
            </w:r>
            <w:r>
              <w:rPr>
                <w:rFonts w:ascii="Times New Roman" w:hAnsi="Times New Roman" w:cs="Times New Roman" w:hint="eastAsia"/>
                <w:sz w:val="18"/>
                <w:szCs w:val="18"/>
              </w:rPr>
              <w:t>mL</w:t>
            </w:r>
          </w:p>
        </w:tc>
        <w:tc>
          <w:tcPr>
            <w:tcW w:w="1253" w:type="dxa"/>
            <w:vAlign w:val="center"/>
          </w:tcPr>
          <w:p w14:paraId="725111B8"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25.6241</w:t>
            </w:r>
          </w:p>
        </w:tc>
        <w:tc>
          <w:tcPr>
            <w:tcW w:w="1222" w:type="dxa"/>
            <w:vAlign w:val="center"/>
          </w:tcPr>
          <w:p w14:paraId="2B21B449"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0.1464897</w:t>
            </w:r>
          </w:p>
        </w:tc>
        <w:tc>
          <w:tcPr>
            <w:tcW w:w="1506" w:type="dxa"/>
            <w:vAlign w:val="center"/>
          </w:tcPr>
          <w:p w14:paraId="470E127C"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1.39</w:t>
            </w:r>
          </w:p>
        </w:tc>
      </w:tr>
    </w:tbl>
    <w:p w14:paraId="3C82FFC8" w14:textId="77777777" w:rsidR="00E650CE" w:rsidRDefault="004938CB">
      <w:pPr>
        <w:pStyle w:val="1"/>
        <w:autoSpaceDE w:val="0"/>
        <w:autoSpaceDN w:val="0"/>
        <w:spacing w:line="360" w:lineRule="auto"/>
        <w:ind w:firstLineChars="0" w:firstLine="0"/>
        <w:textAlignment w:val="center"/>
        <w:rPr>
          <w:sz w:val="20"/>
        </w:rPr>
      </w:pPr>
      <w:r>
        <w:rPr>
          <w:sz w:val="16"/>
        </w:rPr>
        <w:sym w:font="Wingdings 2" w:char="F0E1"/>
      </w:r>
      <w:r>
        <w:rPr>
          <w:sz w:val="16"/>
          <w:vertAlign w:val="superscript"/>
        </w:rPr>
        <w:t xml:space="preserve"> </w:t>
      </w:r>
      <w:r>
        <w:rPr>
          <w:rFonts w:hint="eastAsia"/>
          <w:sz w:val="20"/>
        </w:rPr>
        <w:t>平行</w:t>
      </w:r>
      <w:r>
        <w:rPr>
          <w:sz w:val="20"/>
        </w:rPr>
        <w:t>测量三组数据</w:t>
      </w:r>
      <w:r>
        <w:rPr>
          <w:rFonts w:hint="eastAsia"/>
          <w:sz w:val="20"/>
        </w:rPr>
        <w:t>所得。</w:t>
      </w:r>
    </w:p>
    <w:p w14:paraId="089B77F9" w14:textId="77777777" w:rsidR="00E650CE" w:rsidRDefault="004938CB">
      <w:pPr>
        <w:pStyle w:val="1"/>
        <w:autoSpaceDE w:val="0"/>
        <w:autoSpaceDN w:val="0"/>
        <w:spacing w:line="360" w:lineRule="auto"/>
        <w:textAlignment w:val="center"/>
        <w:rPr>
          <w:szCs w:val="21"/>
        </w:rPr>
      </w:pPr>
      <w:r>
        <w:rPr>
          <w:rFonts w:hint="eastAsia"/>
          <w:szCs w:val="21"/>
        </w:rPr>
        <w:t>根据多点不同浓度硼酸滴定结果可知，不同范围取样体积可以实现准确滴定。</w:t>
      </w:r>
      <w:r>
        <w:rPr>
          <w:rFonts w:hint="eastAsia"/>
          <w:szCs w:val="21"/>
        </w:rPr>
        <w:t>0.015g/L</w:t>
      </w:r>
      <w:r>
        <w:rPr>
          <w:rFonts w:hint="eastAsia"/>
          <w:szCs w:val="21"/>
        </w:rPr>
        <w:t>为仪器定量限，相对标准偏差≤</w:t>
      </w:r>
      <w:r>
        <w:rPr>
          <w:rFonts w:hint="eastAsia"/>
          <w:szCs w:val="21"/>
        </w:rPr>
        <w:t>10%</w:t>
      </w:r>
      <w:r>
        <w:rPr>
          <w:rFonts w:hint="eastAsia"/>
          <w:szCs w:val="21"/>
        </w:rPr>
        <w:t>，硼酸浓度较低时，相对标准偏差≤</w:t>
      </w:r>
      <w:r>
        <w:rPr>
          <w:rFonts w:hint="eastAsia"/>
          <w:szCs w:val="21"/>
        </w:rPr>
        <w:t>5%</w:t>
      </w:r>
      <w:r>
        <w:rPr>
          <w:rFonts w:hint="eastAsia"/>
          <w:szCs w:val="21"/>
        </w:rPr>
        <w:t>，当浓度稍大时，可实现相对标准偏差≤</w:t>
      </w:r>
      <w:r>
        <w:rPr>
          <w:rFonts w:hint="eastAsia"/>
          <w:szCs w:val="21"/>
        </w:rPr>
        <w:t>3%</w:t>
      </w:r>
      <w:r>
        <w:rPr>
          <w:rFonts w:hint="eastAsia"/>
          <w:szCs w:val="21"/>
        </w:rPr>
        <w:t>，为使用较少的滴定剂，加快实验效率，可在一定浓度范围内使用同一取样体积。</w:t>
      </w:r>
    </w:p>
    <w:p w14:paraId="4F564D8B" w14:textId="77777777" w:rsidR="00E650CE" w:rsidRDefault="004938CB">
      <w:pPr>
        <w:pStyle w:val="1"/>
        <w:autoSpaceDE w:val="0"/>
        <w:autoSpaceDN w:val="0"/>
        <w:spacing w:line="360" w:lineRule="auto"/>
        <w:textAlignment w:val="center"/>
        <w:rPr>
          <w:szCs w:val="21"/>
        </w:rPr>
      </w:pPr>
      <w:r>
        <w:rPr>
          <w:rFonts w:hint="eastAsia"/>
          <w:szCs w:val="21"/>
        </w:rPr>
        <w:t>小结</w:t>
      </w:r>
      <w:r>
        <w:rPr>
          <w:szCs w:val="21"/>
        </w:rPr>
        <w:t>：</w:t>
      </w:r>
      <w:r>
        <w:rPr>
          <w:rFonts w:hint="eastAsia"/>
          <w:szCs w:val="21"/>
        </w:rPr>
        <w:t>采用</w:t>
      </w:r>
      <w:r>
        <w:rPr>
          <w:rFonts w:hint="eastAsia"/>
          <w:szCs w:val="21"/>
        </w:rPr>
        <w:t>0.0990mol/L</w:t>
      </w:r>
      <w:r>
        <w:rPr>
          <w:rFonts w:hint="eastAsia"/>
          <w:szCs w:val="21"/>
        </w:rPr>
        <w:t>氢氧化钠滴定剂时，样品取样体积表格如下：</w:t>
      </w:r>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42"/>
        <w:gridCol w:w="1890"/>
      </w:tblGrid>
      <w:tr w:rsidR="00E650CE" w14:paraId="62F3E5D9" w14:textId="77777777">
        <w:trPr>
          <w:jc w:val="center"/>
        </w:trPr>
        <w:tc>
          <w:tcPr>
            <w:tcW w:w="988" w:type="dxa"/>
          </w:tcPr>
          <w:p w14:paraId="3CE9AF47" w14:textId="77777777" w:rsidR="00E650CE" w:rsidRDefault="004938CB">
            <w:pPr>
              <w:jc w:val="center"/>
              <w:rPr>
                <w:rFonts w:ascii="Times New Roman Regular" w:hAnsi="Times New Roman Regular" w:cs="Times New Roman Regular"/>
                <w:bCs/>
                <w:sz w:val="18"/>
                <w:szCs w:val="18"/>
              </w:rPr>
            </w:pPr>
            <w:r>
              <w:rPr>
                <w:rFonts w:ascii="Times New Roman Regular" w:hAnsi="Times New Roman Regular" w:cs="Times New Roman Regular"/>
                <w:bCs/>
                <w:sz w:val="18"/>
                <w:szCs w:val="18"/>
              </w:rPr>
              <w:t>序号</w:t>
            </w:r>
          </w:p>
        </w:tc>
        <w:tc>
          <w:tcPr>
            <w:tcW w:w="1742" w:type="dxa"/>
          </w:tcPr>
          <w:p w14:paraId="6BF61234" w14:textId="77777777" w:rsidR="00E650CE" w:rsidRDefault="004938CB">
            <w:pPr>
              <w:jc w:val="center"/>
              <w:rPr>
                <w:rFonts w:ascii="Times New Roman Regular" w:hAnsi="Times New Roman Regular" w:cs="Times New Roman Regular"/>
                <w:bCs/>
                <w:sz w:val="18"/>
                <w:szCs w:val="18"/>
              </w:rPr>
            </w:pPr>
            <w:r>
              <w:rPr>
                <w:rFonts w:ascii="Times New Roman Regular" w:hAnsi="Times New Roman Regular" w:cs="Times New Roman Regular"/>
                <w:bCs/>
                <w:sz w:val="18"/>
                <w:szCs w:val="18"/>
              </w:rPr>
              <w:t>C</w:t>
            </w:r>
            <w:r>
              <w:rPr>
                <w:rFonts w:ascii="Times New Roman Regular" w:hAnsi="Times New Roman Regular" w:cs="Times New Roman Regular"/>
                <w:bCs/>
                <w:sz w:val="18"/>
                <w:szCs w:val="18"/>
                <w:vertAlign w:val="subscript"/>
              </w:rPr>
              <w:t>H3BO</w:t>
            </w:r>
            <w:proofErr w:type="gramStart"/>
            <w:r>
              <w:rPr>
                <w:rFonts w:ascii="Times New Roman Regular" w:hAnsi="Times New Roman Regular" w:cs="Times New Roman Regular"/>
                <w:bCs/>
                <w:sz w:val="18"/>
                <w:szCs w:val="18"/>
                <w:vertAlign w:val="subscript"/>
              </w:rPr>
              <w:t>3</w:t>
            </w:r>
            <w:r>
              <w:rPr>
                <w:rFonts w:ascii="Times New Roman Regular" w:hAnsi="Times New Roman Regular" w:cs="Times New Roman Regular"/>
                <w:bCs/>
                <w:sz w:val="18"/>
                <w:szCs w:val="18"/>
              </w:rPr>
              <w:t>( g</w:t>
            </w:r>
            <w:proofErr w:type="gramEnd"/>
            <w:r>
              <w:rPr>
                <w:rFonts w:ascii="Times New Roman Regular" w:hAnsi="Times New Roman Regular" w:cs="Times New Roman Regular"/>
                <w:bCs/>
                <w:sz w:val="18"/>
                <w:szCs w:val="18"/>
              </w:rPr>
              <w:t>/L)</w:t>
            </w:r>
          </w:p>
        </w:tc>
        <w:tc>
          <w:tcPr>
            <w:tcW w:w="1890" w:type="dxa"/>
          </w:tcPr>
          <w:p w14:paraId="5A2545CE" w14:textId="77777777" w:rsidR="00E650CE" w:rsidRDefault="004938CB">
            <w:pPr>
              <w:jc w:val="center"/>
              <w:rPr>
                <w:rFonts w:ascii="Times New Roman Regular" w:hAnsi="Times New Roman Regular" w:cs="Times New Roman Regular"/>
                <w:bCs/>
                <w:sz w:val="18"/>
                <w:szCs w:val="18"/>
              </w:rPr>
            </w:pPr>
            <w:r>
              <w:rPr>
                <w:rFonts w:ascii="Times New Roman Regular" w:hAnsi="Times New Roman Regular" w:cs="Times New Roman Regular"/>
                <w:bCs/>
                <w:sz w:val="18"/>
                <w:szCs w:val="18"/>
              </w:rPr>
              <w:t>取样样品</w:t>
            </w:r>
            <w:r>
              <w:rPr>
                <w:rFonts w:ascii="Times New Roman Regular" w:hAnsi="Times New Roman Regular" w:cs="Times New Roman Regular"/>
                <w:bCs/>
                <w:sz w:val="18"/>
                <w:szCs w:val="18"/>
              </w:rPr>
              <w:t>V(mL)</w:t>
            </w:r>
          </w:p>
        </w:tc>
      </w:tr>
      <w:tr w:rsidR="00E650CE" w14:paraId="7FDCE2AD" w14:textId="77777777">
        <w:trPr>
          <w:jc w:val="center"/>
        </w:trPr>
        <w:tc>
          <w:tcPr>
            <w:tcW w:w="988" w:type="dxa"/>
          </w:tcPr>
          <w:p w14:paraId="41C592E5"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w:t>
            </w:r>
          </w:p>
        </w:tc>
        <w:tc>
          <w:tcPr>
            <w:tcW w:w="1742" w:type="dxa"/>
          </w:tcPr>
          <w:p w14:paraId="53A12598"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0.015≤C</w:t>
            </w:r>
            <w:r>
              <w:rPr>
                <w:rFonts w:ascii="Times New Roman Regular" w:hAnsi="Times New Roman Regular" w:cs="Times New Roman Regular"/>
                <w:sz w:val="18"/>
                <w:szCs w:val="18"/>
              </w:rPr>
              <w:t>＜</w:t>
            </w:r>
            <w:r>
              <w:rPr>
                <w:rFonts w:ascii="Times New Roman Regular" w:hAnsi="Times New Roman Regular" w:cs="Times New Roman Regular"/>
                <w:sz w:val="18"/>
                <w:szCs w:val="18"/>
              </w:rPr>
              <w:t>0.5</w:t>
            </w:r>
          </w:p>
        </w:tc>
        <w:tc>
          <w:tcPr>
            <w:tcW w:w="1890" w:type="dxa"/>
          </w:tcPr>
          <w:p w14:paraId="682C2038"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80</w:t>
            </w:r>
          </w:p>
        </w:tc>
      </w:tr>
      <w:tr w:rsidR="00E650CE" w14:paraId="10A9E9FE" w14:textId="77777777">
        <w:trPr>
          <w:jc w:val="center"/>
        </w:trPr>
        <w:tc>
          <w:tcPr>
            <w:tcW w:w="988" w:type="dxa"/>
          </w:tcPr>
          <w:p w14:paraId="57F0FAFC"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p>
        </w:tc>
        <w:tc>
          <w:tcPr>
            <w:tcW w:w="1742" w:type="dxa"/>
          </w:tcPr>
          <w:p w14:paraId="52D9845D"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0.5≤C</w:t>
            </w:r>
            <w:r>
              <w:rPr>
                <w:rFonts w:ascii="Times New Roman Regular" w:hAnsi="Times New Roman Regular" w:cs="Times New Roman Regular"/>
                <w:sz w:val="18"/>
                <w:szCs w:val="18"/>
              </w:rPr>
              <w:t>＜</w:t>
            </w:r>
            <w:r>
              <w:rPr>
                <w:rFonts w:ascii="Times New Roman Regular" w:hAnsi="Times New Roman Regular" w:cs="Times New Roman Regular"/>
                <w:sz w:val="18"/>
                <w:szCs w:val="18"/>
              </w:rPr>
              <w:t>2</w:t>
            </w:r>
          </w:p>
        </w:tc>
        <w:tc>
          <w:tcPr>
            <w:tcW w:w="1890" w:type="dxa"/>
          </w:tcPr>
          <w:p w14:paraId="7DB7D66C"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40</w:t>
            </w:r>
          </w:p>
        </w:tc>
      </w:tr>
      <w:tr w:rsidR="00E650CE" w14:paraId="51FCD45D" w14:textId="77777777">
        <w:trPr>
          <w:jc w:val="center"/>
        </w:trPr>
        <w:tc>
          <w:tcPr>
            <w:tcW w:w="988" w:type="dxa"/>
          </w:tcPr>
          <w:p w14:paraId="61827962"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1742" w:type="dxa"/>
          </w:tcPr>
          <w:p w14:paraId="657782B6"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2≤C</w:t>
            </w:r>
            <w:r>
              <w:rPr>
                <w:rFonts w:ascii="Times New Roman Regular" w:hAnsi="Times New Roman Regular" w:cs="Times New Roman Regular"/>
                <w:sz w:val="18"/>
                <w:szCs w:val="18"/>
              </w:rPr>
              <w:t>＜</w:t>
            </w:r>
            <w:r>
              <w:rPr>
                <w:rFonts w:ascii="Times New Roman Regular" w:hAnsi="Times New Roman Regular" w:cs="Times New Roman Regular"/>
                <w:sz w:val="18"/>
                <w:szCs w:val="18"/>
              </w:rPr>
              <w:t>5</w:t>
            </w:r>
          </w:p>
        </w:tc>
        <w:tc>
          <w:tcPr>
            <w:tcW w:w="1890" w:type="dxa"/>
          </w:tcPr>
          <w:p w14:paraId="34DE5F5A"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10</w:t>
            </w:r>
          </w:p>
        </w:tc>
      </w:tr>
      <w:tr w:rsidR="00E650CE" w14:paraId="4F8DFA16" w14:textId="77777777">
        <w:trPr>
          <w:jc w:val="center"/>
        </w:trPr>
        <w:tc>
          <w:tcPr>
            <w:tcW w:w="988" w:type="dxa"/>
          </w:tcPr>
          <w:p w14:paraId="6B6BD75D"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w:t>
            </w:r>
          </w:p>
        </w:tc>
        <w:tc>
          <w:tcPr>
            <w:tcW w:w="1742" w:type="dxa"/>
          </w:tcPr>
          <w:p w14:paraId="2331F3FD"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5≤C</w:t>
            </w:r>
            <w:r>
              <w:rPr>
                <w:rFonts w:ascii="Times New Roman Regular" w:hAnsi="Times New Roman Regular" w:cs="Times New Roman Regular"/>
                <w:sz w:val="18"/>
                <w:szCs w:val="18"/>
              </w:rPr>
              <w:t>＜</w:t>
            </w:r>
            <w:r>
              <w:rPr>
                <w:rFonts w:ascii="Times New Roman Regular" w:hAnsi="Times New Roman Regular" w:cs="Times New Roman Regular"/>
                <w:sz w:val="18"/>
                <w:szCs w:val="18"/>
              </w:rPr>
              <w:t>10</w:t>
            </w:r>
          </w:p>
        </w:tc>
        <w:tc>
          <w:tcPr>
            <w:tcW w:w="1890" w:type="dxa"/>
          </w:tcPr>
          <w:p w14:paraId="4E69E549"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5</w:t>
            </w:r>
          </w:p>
        </w:tc>
      </w:tr>
      <w:tr w:rsidR="00E650CE" w14:paraId="7C323B88" w14:textId="77777777">
        <w:trPr>
          <w:jc w:val="center"/>
        </w:trPr>
        <w:tc>
          <w:tcPr>
            <w:tcW w:w="988" w:type="dxa"/>
          </w:tcPr>
          <w:p w14:paraId="14BFEC4C"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5</w:t>
            </w:r>
          </w:p>
        </w:tc>
        <w:tc>
          <w:tcPr>
            <w:tcW w:w="1742" w:type="dxa"/>
          </w:tcPr>
          <w:p w14:paraId="21D8CBF8"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10≤C</w:t>
            </w:r>
            <w:r>
              <w:rPr>
                <w:rFonts w:ascii="Times New Roman Regular" w:hAnsi="Times New Roman Regular" w:cs="Times New Roman Regular"/>
                <w:sz w:val="18"/>
                <w:szCs w:val="18"/>
              </w:rPr>
              <w:t>＜</w:t>
            </w:r>
            <w:r>
              <w:rPr>
                <w:rFonts w:ascii="Times New Roman Regular" w:hAnsi="Times New Roman Regular" w:cs="Times New Roman Regular"/>
                <w:sz w:val="18"/>
                <w:szCs w:val="18"/>
              </w:rPr>
              <w:t>25</w:t>
            </w:r>
          </w:p>
        </w:tc>
        <w:tc>
          <w:tcPr>
            <w:tcW w:w="1890" w:type="dxa"/>
          </w:tcPr>
          <w:p w14:paraId="1515B0F4" w14:textId="77777777" w:rsidR="00E650CE" w:rsidRDefault="004938CB">
            <w:pPr>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p>
        </w:tc>
      </w:tr>
    </w:tbl>
    <w:p w14:paraId="2E22C7C5" w14:textId="77777777" w:rsidR="00E650CE" w:rsidRDefault="00E650CE">
      <w:pPr>
        <w:pStyle w:val="1"/>
        <w:autoSpaceDE w:val="0"/>
        <w:autoSpaceDN w:val="0"/>
        <w:spacing w:line="360" w:lineRule="auto"/>
        <w:textAlignment w:val="center"/>
        <w:rPr>
          <w:highlight w:val="yellow"/>
        </w:rPr>
      </w:pPr>
    </w:p>
    <w:p w14:paraId="075691AF" w14:textId="77777777" w:rsidR="00E650CE" w:rsidRPr="005B6905" w:rsidRDefault="004938CB">
      <w:pPr>
        <w:pStyle w:val="af"/>
        <w:widowControl w:val="0"/>
        <w:numPr>
          <w:ilvl w:val="1"/>
          <w:numId w:val="2"/>
        </w:numPr>
        <w:ind w:firstLineChars="0"/>
        <w:jc w:val="both"/>
        <w:rPr>
          <w:rFonts w:ascii="Times New Roman" w:hAnsi="Times New Roman" w:cs="Times New Roman"/>
        </w:rPr>
      </w:pPr>
      <w:r w:rsidRPr="005B6905">
        <w:rPr>
          <w:rFonts w:ascii="Times New Roman" w:hAnsi="Times New Roman" w:cs="Times New Roman"/>
        </w:rPr>
        <w:t>重复性试验</w:t>
      </w:r>
    </w:p>
    <w:p w14:paraId="1F1F9422" w14:textId="77777777" w:rsidR="00E650CE" w:rsidRDefault="004938CB">
      <w:pPr>
        <w:pStyle w:val="1"/>
        <w:autoSpaceDE w:val="0"/>
        <w:autoSpaceDN w:val="0"/>
        <w:spacing w:line="360" w:lineRule="auto"/>
        <w:textAlignment w:val="center"/>
      </w:pPr>
      <w:r>
        <w:rPr>
          <w:rFonts w:hint="eastAsia"/>
        </w:rPr>
        <w:t>配置</w:t>
      </w:r>
      <w:r>
        <w:rPr>
          <w:rFonts w:hint="eastAsia"/>
        </w:rPr>
        <w:t>0.3005</w:t>
      </w:r>
      <w:r>
        <w:t>g/L</w:t>
      </w:r>
      <w:r>
        <w:rPr>
          <w:rFonts w:hint="eastAsia"/>
        </w:rPr>
        <w:t>、</w:t>
      </w:r>
      <w:r>
        <w:rPr>
          <w:rFonts w:hint="eastAsia"/>
        </w:rPr>
        <w:t>6.0021g/L</w:t>
      </w:r>
      <w:r>
        <w:rPr>
          <w:rFonts w:hint="eastAsia"/>
        </w:rPr>
        <w:t>的硼酸标准溶液，</w:t>
      </w:r>
      <w:proofErr w:type="gramStart"/>
      <w:r>
        <w:rPr>
          <w:rFonts w:hint="eastAsia"/>
        </w:rPr>
        <w:t>各移取</w:t>
      </w:r>
      <w:proofErr w:type="gramEnd"/>
      <w:r>
        <w:rPr>
          <w:rFonts w:hint="eastAsia"/>
        </w:rPr>
        <w:t>80ml</w:t>
      </w:r>
      <w:r>
        <w:rPr>
          <w:rFonts w:hint="eastAsia"/>
        </w:rPr>
        <w:t>、</w:t>
      </w:r>
      <w:r>
        <w:rPr>
          <w:rFonts w:hint="eastAsia"/>
        </w:rPr>
        <w:t>5mL</w:t>
      </w:r>
      <w:r>
        <w:rPr>
          <w:rFonts w:hint="eastAsia"/>
          <w:szCs w:val="21"/>
        </w:rPr>
        <w:t>置于</w:t>
      </w:r>
      <w:r>
        <w:rPr>
          <w:rFonts w:hint="eastAsia"/>
          <w:szCs w:val="21"/>
        </w:rPr>
        <w:t>200mL</w:t>
      </w:r>
      <w:r>
        <w:rPr>
          <w:rFonts w:hint="eastAsia"/>
          <w:szCs w:val="21"/>
        </w:rPr>
        <w:t>烧杯中</w:t>
      </w:r>
      <w:r>
        <w:rPr>
          <w:rFonts w:hint="eastAsia"/>
        </w:rPr>
        <w:t>，</w:t>
      </w:r>
      <w:proofErr w:type="gramStart"/>
      <w:r>
        <w:rPr>
          <w:rFonts w:hint="eastAsia"/>
          <w:szCs w:val="21"/>
        </w:rPr>
        <w:t>然后加除盐水</w:t>
      </w:r>
      <w:proofErr w:type="gramEnd"/>
      <w:r>
        <w:rPr>
          <w:rFonts w:hint="eastAsia"/>
          <w:szCs w:val="21"/>
        </w:rPr>
        <w:t>至</w:t>
      </w:r>
      <w:r>
        <w:rPr>
          <w:rFonts w:hint="eastAsia"/>
          <w:szCs w:val="21"/>
        </w:rPr>
        <w:t>80mL</w:t>
      </w:r>
      <w:r>
        <w:rPr>
          <w:rFonts w:hint="eastAsia"/>
          <w:szCs w:val="21"/>
        </w:rPr>
        <w:t>体积，再加入</w:t>
      </w:r>
      <w:r>
        <w:rPr>
          <w:rFonts w:hint="eastAsia"/>
          <w:szCs w:val="21"/>
        </w:rPr>
        <w:t>1g</w:t>
      </w:r>
      <w:r>
        <w:rPr>
          <w:rFonts w:hint="eastAsia"/>
          <w:szCs w:val="21"/>
        </w:rPr>
        <w:t>甘露醇，将复合电极和滴定管插入烧杯的溶液中，启动仪器开始自动滴定。</w:t>
      </w:r>
      <w:r>
        <w:t>根据测量参数试验结果编辑分析方法，在同一实验室，同一实验者以同一台仪器分析</w:t>
      </w:r>
      <w:r>
        <w:rPr>
          <w:rFonts w:hint="eastAsia"/>
        </w:rPr>
        <w:t>，</w:t>
      </w:r>
      <w:r>
        <w:t>分别进行三次检测，计算重复性。</w:t>
      </w:r>
    </w:p>
    <w:p w14:paraId="1982A09D" w14:textId="77777777" w:rsidR="00E650CE" w:rsidRDefault="004938CB">
      <w:pPr>
        <w:pStyle w:val="1"/>
        <w:autoSpaceDE w:val="0"/>
        <w:autoSpaceDN w:val="0"/>
        <w:spacing w:line="360" w:lineRule="auto"/>
        <w:textAlignment w:val="center"/>
      </w:pPr>
      <w:r>
        <w:t>试验结果如下：</w:t>
      </w:r>
    </w:p>
    <w:tbl>
      <w:tblPr>
        <w:tblStyle w:val="ad"/>
        <w:tblW w:w="0" w:type="auto"/>
        <w:tblInd w:w="360" w:type="dxa"/>
        <w:tblLook w:val="04A0" w:firstRow="1" w:lastRow="0" w:firstColumn="1" w:lastColumn="0" w:noHBand="0" w:noVBand="1"/>
      </w:tblPr>
      <w:tblGrid>
        <w:gridCol w:w="1164"/>
        <w:gridCol w:w="930"/>
        <w:gridCol w:w="948"/>
        <w:gridCol w:w="996"/>
        <w:gridCol w:w="957"/>
        <w:gridCol w:w="1428"/>
        <w:gridCol w:w="1513"/>
      </w:tblGrid>
      <w:tr w:rsidR="00E650CE" w14:paraId="207F2B78" w14:textId="77777777">
        <w:tc>
          <w:tcPr>
            <w:tcW w:w="1169" w:type="dxa"/>
            <w:vAlign w:val="center"/>
          </w:tcPr>
          <w:p w14:paraId="43586CB8" w14:textId="77777777" w:rsidR="00E650CE" w:rsidRDefault="004938CB">
            <w:pPr>
              <w:pStyle w:val="af"/>
              <w:ind w:firstLineChars="0" w:firstLine="0"/>
              <w:jc w:val="center"/>
              <w:rPr>
                <w:rFonts w:ascii="Times New Roman Regular" w:hAnsi="Times New Roman Regular" w:cs="Times New Roman Regular"/>
                <w:sz w:val="18"/>
                <w:szCs w:val="18"/>
              </w:rPr>
            </w:pPr>
            <w:r>
              <w:rPr>
                <w:rFonts w:ascii="Times New Roman Regular" w:hAnsi="Times New Roman Regular" w:cs="Times New Roman Regular"/>
                <w:bCs/>
                <w:sz w:val="18"/>
                <w:szCs w:val="18"/>
              </w:rPr>
              <w:t>C</w:t>
            </w:r>
            <w:r>
              <w:rPr>
                <w:rFonts w:ascii="Times New Roman Regular" w:hAnsi="Times New Roman Regular" w:cs="Times New Roman Regular"/>
                <w:bCs/>
                <w:sz w:val="18"/>
                <w:szCs w:val="18"/>
                <w:vertAlign w:val="subscript"/>
              </w:rPr>
              <w:t>H3BO</w:t>
            </w:r>
            <w:proofErr w:type="gramStart"/>
            <w:r>
              <w:rPr>
                <w:rFonts w:ascii="Times New Roman Regular" w:hAnsi="Times New Roman Regular" w:cs="Times New Roman Regular"/>
                <w:bCs/>
                <w:sz w:val="18"/>
                <w:szCs w:val="18"/>
                <w:vertAlign w:val="subscript"/>
              </w:rPr>
              <w:t>3</w:t>
            </w:r>
            <w:r>
              <w:rPr>
                <w:rFonts w:ascii="Times New Roman Regular" w:hAnsi="Times New Roman Regular" w:cs="Times New Roman Regular"/>
                <w:bCs/>
                <w:sz w:val="18"/>
                <w:szCs w:val="18"/>
              </w:rPr>
              <w:t>( g</w:t>
            </w:r>
            <w:proofErr w:type="gramEnd"/>
            <w:r>
              <w:rPr>
                <w:rFonts w:ascii="Times New Roman Regular" w:hAnsi="Times New Roman Regular" w:cs="Times New Roman Regular"/>
                <w:bCs/>
                <w:sz w:val="18"/>
                <w:szCs w:val="18"/>
              </w:rPr>
              <w:t>/L)</w:t>
            </w:r>
          </w:p>
        </w:tc>
        <w:tc>
          <w:tcPr>
            <w:tcW w:w="957" w:type="dxa"/>
            <w:vAlign w:val="center"/>
          </w:tcPr>
          <w:p w14:paraId="324FA5D6"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取样体积</w:t>
            </w:r>
          </w:p>
        </w:tc>
        <w:tc>
          <w:tcPr>
            <w:tcW w:w="964" w:type="dxa"/>
            <w:vAlign w:val="center"/>
          </w:tcPr>
          <w:p w14:paraId="3499D829"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滴定体积</w:t>
            </w:r>
          </w:p>
        </w:tc>
        <w:tc>
          <w:tcPr>
            <w:tcW w:w="1012" w:type="dxa"/>
            <w:vAlign w:val="center"/>
          </w:tcPr>
          <w:p w14:paraId="0D06796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滴定浓度（</w:t>
            </w:r>
            <w:r>
              <w:rPr>
                <w:rFonts w:ascii="Times New Roman" w:hAnsi="Times New Roman" w:cs="Times New Roman" w:hint="eastAsia"/>
                <w:sz w:val="18"/>
                <w:szCs w:val="18"/>
              </w:rPr>
              <w:t>g/L</w:t>
            </w:r>
            <w:r>
              <w:rPr>
                <w:rFonts w:ascii="Times New Roman" w:hAnsi="Times New Roman" w:cs="Times New Roman" w:hint="eastAsia"/>
                <w:sz w:val="18"/>
                <w:szCs w:val="18"/>
              </w:rPr>
              <w:t>）</w:t>
            </w:r>
          </w:p>
        </w:tc>
        <w:tc>
          <w:tcPr>
            <w:tcW w:w="963" w:type="dxa"/>
            <w:vAlign w:val="center"/>
          </w:tcPr>
          <w:p w14:paraId="4C6D5750"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标准</w:t>
            </w:r>
            <w:r>
              <w:rPr>
                <w:rFonts w:ascii="Times New Roman" w:hAnsi="Times New Roman" w:cs="Times New Roman"/>
                <w:sz w:val="18"/>
                <w:szCs w:val="18"/>
              </w:rPr>
              <w:t>偏差</w:t>
            </w:r>
          </w:p>
        </w:tc>
        <w:tc>
          <w:tcPr>
            <w:tcW w:w="1500" w:type="dxa"/>
            <w:vAlign w:val="center"/>
          </w:tcPr>
          <w:p w14:paraId="19BB768D"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相对</w:t>
            </w:r>
            <w:r>
              <w:rPr>
                <w:rFonts w:ascii="Times New Roman" w:hAnsi="Times New Roman" w:cs="Times New Roman"/>
                <w:sz w:val="18"/>
                <w:szCs w:val="18"/>
              </w:rPr>
              <w:t>标准偏差</w:t>
            </w:r>
            <w:r>
              <w:rPr>
                <w:rFonts w:ascii="Times New Roman" w:hAnsi="Times New Roman" w:cs="Times New Roman"/>
                <w:sz w:val="18"/>
                <w:szCs w:val="18"/>
                <w:vertAlign w:val="superscript"/>
              </w:rPr>
              <w:sym w:font="Wingdings 2" w:char="F0E1"/>
            </w:r>
          </w:p>
        </w:tc>
        <w:tc>
          <w:tcPr>
            <w:tcW w:w="1593" w:type="dxa"/>
            <w:vAlign w:val="center"/>
          </w:tcPr>
          <w:p w14:paraId="47BFB492"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平行样相对误差</w:t>
            </w:r>
            <w:r>
              <w:rPr>
                <w:rFonts w:ascii="Times New Roman" w:hAnsi="Times New Roman" w:cs="Times New Roman" w:hint="eastAsia"/>
                <w:sz w:val="18"/>
                <w:szCs w:val="18"/>
              </w:rPr>
              <w:t>*</w:t>
            </w:r>
          </w:p>
        </w:tc>
      </w:tr>
      <w:tr w:rsidR="00E650CE" w14:paraId="176F6565" w14:textId="77777777">
        <w:trPr>
          <w:trHeight w:val="152"/>
        </w:trPr>
        <w:tc>
          <w:tcPr>
            <w:tcW w:w="1169" w:type="dxa"/>
            <w:vMerge w:val="restart"/>
            <w:vAlign w:val="center"/>
          </w:tcPr>
          <w:p w14:paraId="49B359A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0.3005</w:t>
            </w:r>
          </w:p>
        </w:tc>
        <w:tc>
          <w:tcPr>
            <w:tcW w:w="957" w:type="dxa"/>
            <w:vMerge w:val="restart"/>
            <w:vAlign w:val="center"/>
          </w:tcPr>
          <w:p w14:paraId="0084662B"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80mL</w:t>
            </w:r>
          </w:p>
        </w:tc>
        <w:tc>
          <w:tcPr>
            <w:tcW w:w="964" w:type="dxa"/>
            <w:vMerge w:val="restart"/>
            <w:vAlign w:val="center"/>
          </w:tcPr>
          <w:p w14:paraId="7250400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3.82mL</w:t>
            </w:r>
          </w:p>
        </w:tc>
        <w:tc>
          <w:tcPr>
            <w:tcW w:w="1012" w:type="dxa"/>
            <w:vMerge w:val="restart"/>
            <w:vAlign w:val="center"/>
          </w:tcPr>
          <w:p w14:paraId="0BB66163"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0.2921</w:t>
            </w:r>
          </w:p>
        </w:tc>
        <w:tc>
          <w:tcPr>
            <w:tcW w:w="963" w:type="dxa"/>
            <w:vMerge w:val="restart"/>
            <w:vAlign w:val="center"/>
          </w:tcPr>
          <w:p w14:paraId="6EC2BB33"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0.004051</w:t>
            </w:r>
          </w:p>
        </w:tc>
        <w:tc>
          <w:tcPr>
            <w:tcW w:w="1500" w:type="dxa"/>
            <w:vMerge w:val="restart"/>
            <w:vAlign w:val="center"/>
          </w:tcPr>
          <w:p w14:paraId="3F94821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1.39%</w:t>
            </w:r>
          </w:p>
        </w:tc>
        <w:tc>
          <w:tcPr>
            <w:tcW w:w="1593" w:type="dxa"/>
            <w:vAlign w:val="center"/>
          </w:tcPr>
          <w:p w14:paraId="3F50BCFF"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1.55%</w:t>
            </w:r>
          </w:p>
        </w:tc>
      </w:tr>
      <w:tr w:rsidR="00E650CE" w14:paraId="60B3AF2A" w14:textId="77777777">
        <w:trPr>
          <w:trHeight w:val="152"/>
        </w:trPr>
        <w:tc>
          <w:tcPr>
            <w:tcW w:w="1169" w:type="dxa"/>
            <w:vMerge/>
            <w:vAlign w:val="center"/>
          </w:tcPr>
          <w:p w14:paraId="2791969B" w14:textId="77777777" w:rsidR="00E650CE" w:rsidRDefault="00E650CE">
            <w:pPr>
              <w:pStyle w:val="af"/>
              <w:ind w:firstLineChars="0" w:firstLine="0"/>
              <w:jc w:val="center"/>
              <w:rPr>
                <w:rFonts w:hint="eastAsia"/>
              </w:rPr>
            </w:pPr>
          </w:p>
        </w:tc>
        <w:tc>
          <w:tcPr>
            <w:tcW w:w="957" w:type="dxa"/>
            <w:vMerge/>
            <w:vAlign w:val="center"/>
          </w:tcPr>
          <w:p w14:paraId="174B73A8" w14:textId="77777777" w:rsidR="00E650CE" w:rsidRDefault="00E650CE">
            <w:pPr>
              <w:pStyle w:val="af"/>
              <w:ind w:firstLineChars="0" w:firstLine="0"/>
              <w:jc w:val="center"/>
              <w:rPr>
                <w:rFonts w:hint="eastAsia"/>
              </w:rPr>
            </w:pPr>
          </w:p>
        </w:tc>
        <w:tc>
          <w:tcPr>
            <w:tcW w:w="964" w:type="dxa"/>
            <w:vMerge/>
            <w:vAlign w:val="center"/>
          </w:tcPr>
          <w:p w14:paraId="44A0A21D" w14:textId="77777777" w:rsidR="00E650CE" w:rsidRDefault="00E650CE">
            <w:pPr>
              <w:pStyle w:val="af"/>
              <w:ind w:firstLineChars="0" w:firstLine="0"/>
              <w:jc w:val="center"/>
              <w:rPr>
                <w:rFonts w:hint="eastAsia"/>
              </w:rPr>
            </w:pPr>
          </w:p>
        </w:tc>
        <w:tc>
          <w:tcPr>
            <w:tcW w:w="1012" w:type="dxa"/>
            <w:vMerge/>
            <w:vAlign w:val="center"/>
          </w:tcPr>
          <w:p w14:paraId="61780135" w14:textId="77777777" w:rsidR="00E650CE" w:rsidRDefault="00E650CE">
            <w:pPr>
              <w:pStyle w:val="af"/>
              <w:ind w:firstLineChars="0" w:firstLine="0"/>
              <w:jc w:val="center"/>
              <w:rPr>
                <w:rFonts w:hint="eastAsia"/>
              </w:rPr>
            </w:pPr>
          </w:p>
        </w:tc>
        <w:tc>
          <w:tcPr>
            <w:tcW w:w="963" w:type="dxa"/>
            <w:vMerge/>
            <w:vAlign w:val="center"/>
          </w:tcPr>
          <w:p w14:paraId="53D343D1" w14:textId="77777777" w:rsidR="00E650CE" w:rsidRDefault="00E650CE">
            <w:pPr>
              <w:pStyle w:val="af"/>
              <w:ind w:firstLineChars="0" w:firstLine="0"/>
              <w:jc w:val="center"/>
              <w:rPr>
                <w:rFonts w:hint="eastAsia"/>
              </w:rPr>
            </w:pPr>
          </w:p>
        </w:tc>
        <w:tc>
          <w:tcPr>
            <w:tcW w:w="1500" w:type="dxa"/>
            <w:vMerge/>
            <w:vAlign w:val="center"/>
          </w:tcPr>
          <w:p w14:paraId="6ADD828A" w14:textId="77777777" w:rsidR="00E650CE" w:rsidRDefault="00E650CE">
            <w:pPr>
              <w:pStyle w:val="af"/>
              <w:ind w:firstLineChars="0" w:firstLine="0"/>
              <w:jc w:val="center"/>
              <w:rPr>
                <w:rFonts w:hint="eastAsia"/>
              </w:rPr>
            </w:pPr>
          </w:p>
        </w:tc>
        <w:tc>
          <w:tcPr>
            <w:tcW w:w="1593" w:type="dxa"/>
            <w:vAlign w:val="center"/>
          </w:tcPr>
          <w:p w14:paraId="4EE5CB43"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0.05%</w:t>
            </w:r>
          </w:p>
        </w:tc>
      </w:tr>
      <w:tr w:rsidR="00E650CE" w14:paraId="57C0D401" w14:textId="77777777">
        <w:trPr>
          <w:trHeight w:val="152"/>
        </w:trPr>
        <w:tc>
          <w:tcPr>
            <w:tcW w:w="1169" w:type="dxa"/>
            <w:vMerge/>
            <w:vAlign w:val="center"/>
          </w:tcPr>
          <w:p w14:paraId="6853D8B0" w14:textId="77777777" w:rsidR="00E650CE" w:rsidRDefault="00E650CE">
            <w:pPr>
              <w:pStyle w:val="af"/>
              <w:ind w:firstLineChars="0" w:firstLine="0"/>
              <w:jc w:val="center"/>
              <w:rPr>
                <w:rFonts w:ascii="Times New Roman" w:hAnsi="Times New Roman" w:cs="Times New Roman"/>
                <w:sz w:val="18"/>
                <w:szCs w:val="18"/>
              </w:rPr>
            </w:pPr>
          </w:p>
        </w:tc>
        <w:tc>
          <w:tcPr>
            <w:tcW w:w="957" w:type="dxa"/>
            <w:vMerge/>
            <w:vAlign w:val="center"/>
          </w:tcPr>
          <w:p w14:paraId="73ACD07F" w14:textId="77777777" w:rsidR="00E650CE" w:rsidRDefault="00E650CE">
            <w:pPr>
              <w:pStyle w:val="af"/>
              <w:ind w:firstLineChars="0" w:firstLine="0"/>
              <w:jc w:val="center"/>
              <w:rPr>
                <w:rFonts w:ascii="Times New Roman" w:hAnsi="Times New Roman" w:cs="Times New Roman"/>
                <w:sz w:val="18"/>
                <w:szCs w:val="18"/>
              </w:rPr>
            </w:pPr>
          </w:p>
        </w:tc>
        <w:tc>
          <w:tcPr>
            <w:tcW w:w="964" w:type="dxa"/>
            <w:vMerge/>
            <w:vAlign w:val="center"/>
          </w:tcPr>
          <w:p w14:paraId="47C77BF1" w14:textId="77777777" w:rsidR="00E650CE" w:rsidRDefault="00E650CE">
            <w:pPr>
              <w:pStyle w:val="af"/>
              <w:ind w:firstLineChars="0" w:firstLine="0"/>
              <w:jc w:val="center"/>
              <w:rPr>
                <w:rFonts w:ascii="Times New Roman" w:hAnsi="Times New Roman" w:cs="Times New Roman"/>
                <w:sz w:val="18"/>
                <w:szCs w:val="18"/>
              </w:rPr>
            </w:pPr>
          </w:p>
        </w:tc>
        <w:tc>
          <w:tcPr>
            <w:tcW w:w="1012" w:type="dxa"/>
            <w:vMerge/>
            <w:vAlign w:val="center"/>
          </w:tcPr>
          <w:p w14:paraId="4AEAA44B" w14:textId="77777777" w:rsidR="00E650CE" w:rsidRDefault="00E650CE">
            <w:pPr>
              <w:pStyle w:val="af"/>
              <w:ind w:firstLineChars="0" w:firstLine="0"/>
              <w:jc w:val="center"/>
              <w:rPr>
                <w:rFonts w:ascii="Times New Roman" w:hAnsi="Times New Roman" w:cs="Times New Roman"/>
                <w:sz w:val="18"/>
                <w:szCs w:val="18"/>
              </w:rPr>
            </w:pPr>
          </w:p>
        </w:tc>
        <w:tc>
          <w:tcPr>
            <w:tcW w:w="963" w:type="dxa"/>
            <w:vMerge/>
            <w:vAlign w:val="center"/>
          </w:tcPr>
          <w:p w14:paraId="26AD9F9F" w14:textId="77777777" w:rsidR="00E650CE" w:rsidRDefault="00E650CE">
            <w:pPr>
              <w:pStyle w:val="af"/>
              <w:ind w:firstLineChars="0" w:firstLine="0"/>
              <w:jc w:val="center"/>
              <w:rPr>
                <w:rFonts w:ascii="Times New Roman" w:hAnsi="Times New Roman" w:cs="Times New Roman"/>
                <w:sz w:val="18"/>
                <w:szCs w:val="18"/>
              </w:rPr>
            </w:pPr>
          </w:p>
        </w:tc>
        <w:tc>
          <w:tcPr>
            <w:tcW w:w="1500" w:type="dxa"/>
            <w:vMerge/>
            <w:vAlign w:val="center"/>
          </w:tcPr>
          <w:p w14:paraId="6DD17073" w14:textId="77777777" w:rsidR="00E650CE" w:rsidRDefault="00E650CE">
            <w:pPr>
              <w:pStyle w:val="af"/>
              <w:ind w:firstLineChars="0" w:firstLine="0"/>
              <w:jc w:val="center"/>
              <w:rPr>
                <w:rFonts w:ascii="Times New Roman" w:hAnsi="Times New Roman" w:cs="Times New Roman"/>
                <w:sz w:val="18"/>
                <w:szCs w:val="18"/>
              </w:rPr>
            </w:pPr>
          </w:p>
        </w:tc>
        <w:tc>
          <w:tcPr>
            <w:tcW w:w="1593" w:type="dxa"/>
            <w:vAlign w:val="center"/>
          </w:tcPr>
          <w:p w14:paraId="16D3D5E1"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0.43%</w:t>
            </w:r>
          </w:p>
        </w:tc>
      </w:tr>
      <w:tr w:rsidR="00E650CE" w14:paraId="5875F5FD" w14:textId="77777777">
        <w:trPr>
          <w:trHeight w:val="156"/>
        </w:trPr>
        <w:tc>
          <w:tcPr>
            <w:tcW w:w="1169" w:type="dxa"/>
            <w:vMerge w:val="restart"/>
            <w:vAlign w:val="center"/>
          </w:tcPr>
          <w:p w14:paraId="1B921E34"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lastRenderedPageBreak/>
              <w:t>6.0021</w:t>
            </w:r>
          </w:p>
        </w:tc>
        <w:tc>
          <w:tcPr>
            <w:tcW w:w="957" w:type="dxa"/>
            <w:vMerge w:val="restart"/>
            <w:vAlign w:val="center"/>
          </w:tcPr>
          <w:p w14:paraId="4F9D83B0"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5mL</w:t>
            </w:r>
          </w:p>
        </w:tc>
        <w:tc>
          <w:tcPr>
            <w:tcW w:w="964" w:type="dxa"/>
            <w:vMerge w:val="restart"/>
            <w:vAlign w:val="center"/>
          </w:tcPr>
          <w:p w14:paraId="68D1C5C3" w14:textId="77777777" w:rsidR="00E650CE" w:rsidRDefault="004938CB">
            <w:pPr>
              <w:jc w:val="center"/>
              <w:textAlignment w:val="center"/>
              <w:rPr>
                <w:rFonts w:ascii="Times New Roman Regular" w:hAnsi="Times New Roman Regular" w:cs="Times New Roman Regular"/>
                <w:sz w:val="18"/>
                <w:szCs w:val="18"/>
              </w:rPr>
            </w:pPr>
            <w:r>
              <w:rPr>
                <w:rFonts w:ascii="Times New Roman Regular" w:hAnsi="Times New Roman Regular" w:cs="Times New Roman Regular" w:hint="eastAsia"/>
                <w:sz w:val="18"/>
                <w:szCs w:val="18"/>
              </w:rPr>
              <w:t>4.94</w:t>
            </w:r>
            <w:r>
              <w:rPr>
                <w:rFonts w:ascii="Times New Roman" w:hAnsi="Times New Roman" w:cs="Times New Roman" w:hint="eastAsia"/>
                <w:sz w:val="18"/>
                <w:szCs w:val="18"/>
              </w:rPr>
              <w:t>mL</w:t>
            </w:r>
          </w:p>
        </w:tc>
        <w:tc>
          <w:tcPr>
            <w:tcW w:w="1012" w:type="dxa"/>
            <w:vMerge w:val="restart"/>
            <w:vAlign w:val="center"/>
          </w:tcPr>
          <w:p w14:paraId="529CA6FA"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6.0433</w:t>
            </w:r>
          </w:p>
        </w:tc>
        <w:tc>
          <w:tcPr>
            <w:tcW w:w="963" w:type="dxa"/>
            <w:vMerge w:val="restart"/>
            <w:vAlign w:val="center"/>
          </w:tcPr>
          <w:p w14:paraId="5EBE9631"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0.020718</w:t>
            </w:r>
          </w:p>
        </w:tc>
        <w:tc>
          <w:tcPr>
            <w:tcW w:w="1500" w:type="dxa"/>
            <w:vMerge w:val="restart"/>
            <w:vAlign w:val="center"/>
          </w:tcPr>
          <w:p w14:paraId="5094B9AE"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0.34%</w:t>
            </w:r>
          </w:p>
        </w:tc>
        <w:tc>
          <w:tcPr>
            <w:tcW w:w="1593" w:type="dxa"/>
            <w:vAlign w:val="center"/>
          </w:tcPr>
          <w:p w14:paraId="74A426EB"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0.02%</w:t>
            </w:r>
          </w:p>
        </w:tc>
      </w:tr>
      <w:tr w:rsidR="00E650CE" w14:paraId="49BD8E1F" w14:textId="77777777">
        <w:trPr>
          <w:trHeight w:val="156"/>
        </w:trPr>
        <w:tc>
          <w:tcPr>
            <w:tcW w:w="1169" w:type="dxa"/>
            <w:vMerge/>
            <w:vAlign w:val="center"/>
          </w:tcPr>
          <w:p w14:paraId="406AC50D" w14:textId="77777777" w:rsidR="00E650CE" w:rsidRDefault="00E650CE">
            <w:pPr>
              <w:pStyle w:val="af"/>
              <w:ind w:firstLineChars="0" w:firstLine="0"/>
              <w:jc w:val="center"/>
              <w:rPr>
                <w:rFonts w:hint="eastAsia"/>
              </w:rPr>
            </w:pPr>
          </w:p>
        </w:tc>
        <w:tc>
          <w:tcPr>
            <w:tcW w:w="957" w:type="dxa"/>
            <w:vMerge/>
            <w:vAlign w:val="center"/>
          </w:tcPr>
          <w:p w14:paraId="5B164AE7" w14:textId="77777777" w:rsidR="00E650CE" w:rsidRDefault="00E650CE">
            <w:pPr>
              <w:pStyle w:val="af"/>
              <w:ind w:firstLineChars="0" w:firstLine="0"/>
              <w:jc w:val="center"/>
              <w:rPr>
                <w:rFonts w:hint="eastAsia"/>
              </w:rPr>
            </w:pPr>
          </w:p>
        </w:tc>
        <w:tc>
          <w:tcPr>
            <w:tcW w:w="964" w:type="dxa"/>
            <w:vMerge/>
            <w:vAlign w:val="center"/>
          </w:tcPr>
          <w:p w14:paraId="01446F31" w14:textId="77777777" w:rsidR="00E650CE" w:rsidRDefault="00E650CE">
            <w:pPr>
              <w:pStyle w:val="af"/>
              <w:ind w:firstLineChars="0" w:firstLine="0"/>
              <w:jc w:val="center"/>
              <w:rPr>
                <w:rFonts w:hint="eastAsia"/>
              </w:rPr>
            </w:pPr>
          </w:p>
        </w:tc>
        <w:tc>
          <w:tcPr>
            <w:tcW w:w="1012" w:type="dxa"/>
            <w:vMerge/>
            <w:vAlign w:val="center"/>
          </w:tcPr>
          <w:p w14:paraId="396A5429" w14:textId="77777777" w:rsidR="00E650CE" w:rsidRDefault="00E650CE">
            <w:pPr>
              <w:pStyle w:val="af"/>
              <w:ind w:firstLineChars="0" w:firstLine="0"/>
              <w:jc w:val="center"/>
              <w:rPr>
                <w:rFonts w:hint="eastAsia"/>
              </w:rPr>
            </w:pPr>
          </w:p>
        </w:tc>
        <w:tc>
          <w:tcPr>
            <w:tcW w:w="963" w:type="dxa"/>
            <w:vMerge/>
            <w:vAlign w:val="center"/>
          </w:tcPr>
          <w:p w14:paraId="3F2B8CED" w14:textId="77777777" w:rsidR="00E650CE" w:rsidRDefault="00E650CE">
            <w:pPr>
              <w:pStyle w:val="af"/>
              <w:ind w:firstLineChars="0" w:firstLine="0"/>
              <w:jc w:val="center"/>
              <w:rPr>
                <w:rFonts w:hint="eastAsia"/>
              </w:rPr>
            </w:pPr>
          </w:p>
        </w:tc>
        <w:tc>
          <w:tcPr>
            <w:tcW w:w="1500" w:type="dxa"/>
            <w:vMerge/>
            <w:vAlign w:val="center"/>
          </w:tcPr>
          <w:p w14:paraId="04CA31D9" w14:textId="77777777" w:rsidR="00E650CE" w:rsidRDefault="00E650CE">
            <w:pPr>
              <w:pStyle w:val="af"/>
              <w:ind w:firstLineChars="0" w:firstLine="0"/>
              <w:jc w:val="center"/>
              <w:rPr>
                <w:rFonts w:hint="eastAsia"/>
              </w:rPr>
            </w:pPr>
          </w:p>
        </w:tc>
        <w:tc>
          <w:tcPr>
            <w:tcW w:w="1593" w:type="dxa"/>
            <w:vAlign w:val="center"/>
          </w:tcPr>
          <w:p w14:paraId="5BE70BD3"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0.33%</w:t>
            </w:r>
          </w:p>
        </w:tc>
      </w:tr>
      <w:tr w:rsidR="00E650CE" w14:paraId="356A51C3" w14:textId="77777777">
        <w:trPr>
          <w:trHeight w:val="156"/>
        </w:trPr>
        <w:tc>
          <w:tcPr>
            <w:tcW w:w="1169" w:type="dxa"/>
            <w:vMerge/>
            <w:vAlign w:val="center"/>
          </w:tcPr>
          <w:p w14:paraId="08020765" w14:textId="77777777" w:rsidR="00E650CE" w:rsidRDefault="00E650CE">
            <w:pPr>
              <w:pStyle w:val="af"/>
              <w:ind w:firstLineChars="0" w:firstLine="0"/>
              <w:jc w:val="center"/>
              <w:rPr>
                <w:rFonts w:ascii="Times New Roman" w:hAnsi="Times New Roman" w:cs="Times New Roman"/>
                <w:sz w:val="18"/>
                <w:szCs w:val="18"/>
              </w:rPr>
            </w:pPr>
          </w:p>
        </w:tc>
        <w:tc>
          <w:tcPr>
            <w:tcW w:w="957" w:type="dxa"/>
            <w:vMerge/>
            <w:vAlign w:val="center"/>
          </w:tcPr>
          <w:p w14:paraId="50E24FC8" w14:textId="77777777" w:rsidR="00E650CE" w:rsidRDefault="00E650CE">
            <w:pPr>
              <w:pStyle w:val="af"/>
              <w:ind w:firstLineChars="0" w:firstLine="0"/>
              <w:jc w:val="center"/>
              <w:rPr>
                <w:rFonts w:ascii="Times New Roman" w:hAnsi="Times New Roman" w:cs="Times New Roman"/>
                <w:sz w:val="18"/>
                <w:szCs w:val="18"/>
              </w:rPr>
            </w:pPr>
          </w:p>
        </w:tc>
        <w:tc>
          <w:tcPr>
            <w:tcW w:w="964" w:type="dxa"/>
            <w:vMerge/>
            <w:vAlign w:val="center"/>
          </w:tcPr>
          <w:p w14:paraId="151B9E4D" w14:textId="77777777" w:rsidR="00E650CE" w:rsidRDefault="00E650CE">
            <w:pPr>
              <w:pStyle w:val="af"/>
              <w:ind w:firstLineChars="0" w:firstLine="0"/>
              <w:jc w:val="center"/>
              <w:rPr>
                <w:rFonts w:ascii="Times New Roman" w:hAnsi="Times New Roman" w:cs="Times New Roman"/>
                <w:sz w:val="18"/>
                <w:szCs w:val="18"/>
              </w:rPr>
            </w:pPr>
          </w:p>
        </w:tc>
        <w:tc>
          <w:tcPr>
            <w:tcW w:w="1012" w:type="dxa"/>
            <w:vMerge/>
            <w:vAlign w:val="center"/>
          </w:tcPr>
          <w:p w14:paraId="5F94A000" w14:textId="77777777" w:rsidR="00E650CE" w:rsidRDefault="00E650CE">
            <w:pPr>
              <w:pStyle w:val="af"/>
              <w:ind w:firstLineChars="0" w:firstLine="0"/>
              <w:jc w:val="center"/>
              <w:rPr>
                <w:rFonts w:ascii="Times New Roman" w:hAnsi="Times New Roman" w:cs="Times New Roman"/>
                <w:sz w:val="18"/>
                <w:szCs w:val="18"/>
              </w:rPr>
            </w:pPr>
          </w:p>
        </w:tc>
        <w:tc>
          <w:tcPr>
            <w:tcW w:w="963" w:type="dxa"/>
            <w:vMerge/>
            <w:vAlign w:val="center"/>
          </w:tcPr>
          <w:p w14:paraId="63CB0A65" w14:textId="77777777" w:rsidR="00E650CE" w:rsidRDefault="00E650CE">
            <w:pPr>
              <w:pStyle w:val="af"/>
              <w:ind w:firstLineChars="0" w:firstLine="0"/>
              <w:jc w:val="center"/>
              <w:rPr>
                <w:rFonts w:ascii="Times New Roman" w:hAnsi="Times New Roman" w:cs="Times New Roman"/>
                <w:sz w:val="18"/>
                <w:szCs w:val="18"/>
              </w:rPr>
            </w:pPr>
          </w:p>
        </w:tc>
        <w:tc>
          <w:tcPr>
            <w:tcW w:w="1500" w:type="dxa"/>
            <w:vMerge/>
            <w:vAlign w:val="center"/>
          </w:tcPr>
          <w:p w14:paraId="7F5AC231" w14:textId="77777777" w:rsidR="00E650CE" w:rsidRDefault="00E650CE">
            <w:pPr>
              <w:pStyle w:val="af"/>
              <w:ind w:firstLineChars="0" w:firstLine="0"/>
              <w:jc w:val="center"/>
              <w:rPr>
                <w:rFonts w:ascii="Times New Roman" w:hAnsi="Times New Roman" w:cs="Times New Roman"/>
                <w:sz w:val="18"/>
                <w:szCs w:val="18"/>
              </w:rPr>
            </w:pPr>
          </w:p>
        </w:tc>
        <w:tc>
          <w:tcPr>
            <w:tcW w:w="1593" w:type="dxa"/>
            <w:vAlign w:val="center"/>
          </w:tcPr>
          <w:p w14:paraId="57D8DB85" w14:textId="77777777" w:rsidR="00E650CE" w:rsidRDefault="004938CB">
            <w:pPr>
              <w:pStyle w:val="af"/>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0.35%</w:t>
            </w:r>
          </w:p>
        </w:tc>
      </w:tr>
    </w:tbl>
    <w:p w14:paraId="4ACF7484" w14:textId="77777777" w:rsidR="00E650CE" w:rsidRDefault="004938CB">
      <w:pPr>
        <w:pStyle w:val="1"/>
        <w:autoSpaceDE w:val="0"/>
        <w:autoSpaceDN w:val="0"/>
        <w:spacing w:line="360" w:lineRule="auto"/>
        <w:ind w:firstLineChars="0" w:firstLine="0"/>
        <w:textAlignment w:val="center"/>
      </w:pPr>
      <w:r>
        <w:rPr>
          <w:sz w:val="16"/>
        </w:rPr>
        <w:sym w:font="Wingdings 2" w:char="F0E1"/>
      </w:r>
      <w:r>
        <w:rPr>
          <w:sz w:val="16"/>
          <w:vertAlign w:val="superscript"/>
        </w:rPr>
        <w:t xml:space="preserve"> </w:t>
      </w:r>
      <w:r>
        <w:rPr>
          <w:rFonts w:hint="eastAsia"/>
          <w:sz w:val="20"/>
        </w:rPr>
        <w:t>平行</w:t>
      </w:r>
      <w:r>
        <w:rPr>
          <w:sz w:val="20"/>
        </w:rPr>
        <w:t>测量三组数据</w:t>
      </w:r>
      <w:r>
        <w:rPr>
          <w:rFonts w:hint="eastAsia"/>
          <w:sz w:val="20"/>
        </w:rPr>
        <w:t>所得。</w:t>
      </w:r>
    </w:p>
    <w:p w14:paraId="13B5BB28" w14:textId="77777777" w:rsidR="00E650CE" w:rsidRDefault="004938CB">
      <w:pPr>
        <w:pStyle w:val="af0"/>
        <w:spacing w:line="360" w:lineRule="auto"/>
      </w:pPr>
      <w:r>
        <w:rPr>
          <w:rFonts w:ascii="Times New Roman" w:hint="eastAsia"/>
          <w:szCs w:val="21"/>
        </w:rPr>
        <w:t>由滴定结果可知，硼酸标准浓度为</w:t>
      </w:r>
      <w:r>
        <w:rPr>
          <w:rFonts w:ascii="Times New Roman" w:hint="eastAsia"/>
          <w:szCs w:val="21"/>
        </w:rPr>
        <w:t>6g/L</w:t>
      </w:r>
      <w:r>
        <w:rPr>
          <w:rFonts w:ascii="Times New Roman" w:hint="eastAsia"/>
          <w:szCs w:val="21"/>
        </w:rPr>
        <w:t>时，测量值与标准值的相对误差的绝对值≤</w:t>
      </w:r>
      <w:r>
        <w:rPr>
          <w:rFonts w:ascii="Times New Roman" w:hint="eastAsia"/>
          <w:szCs w:val="21"/>
        </w:rPr>
        <w:t>3%</w:t>
      </w:r>
      <w:r>
        <w:rPr>
          <w:rFonts w:ascii="Times New Roman" w:hint="eastAsia"/>
          <w:szCs w:val="21"/>
        </w:rPr>
        <w:t>，硼酸标准浓度为</w:t>
      </w:r>
      <w:r>
        <w:rPr>
          <w:rFonts w:ascii="Times New Roman" w:hint="eastAsia"/>
          <w:szCs w:val="21"/>
        </w:rPr>
        <w:t>0.3g/L</w:t>
      </w:r>
      <w:r>
        <w:rPr>
          <w:rFonts w:ascii="Times New Roman" w:hint="eastAsia"/>
          <w:szCs w:val="21"/>
        </w:rPr>
        <w:t>时，测量值与标准值的相对误差的绝对值≤</w:t>
      </w:r>
      <w:r>
        <w:rPr>
          <w:rFonts w:ascii="Times New Roman" w:hint="eastAsia"/>
          <w:szCs w:val="21"/>
        </w:rPr>
        <w:t>10%</w:t>
      </w:r>
      <w:r>
        <w:rPr>
          <w:rFonts w:ascii="Times New Roman" w:hint="eastAsia"/>
          <w:szCs w:val="21"/>
        </w:rPr>
        <w:t>。</w:t>
      </w:r>
      <w:r>
        <w:rPr>
          <w:rFonts w:ascii="Times New Roman" w:hint="eastAsia"/>
        </w:rPr>
        <w:t>每批样品至少测定</w:t>
      </w:r>
      <w:r>
        <w:rPr>
          <w:rFonts w:ascii="Times New Roman" w:hint="eastAsia"/>
        </w:rPr>
        <w:t>10%</w:t>
      </w:r>
      <w:r>
        <w:rPr>
          <w:rFonts w:ascii="Times New Roman" w:hint="eastAsia"/>
        </w:rPr>
        <w:t>的平行双样，样品数量少于</w:t>
      </w:r>
      <w:r>
        <w:rPr>
          <w:rFonts w:ascii="Times New Roman" w:hint="eastAsia"/>
        </w:rPr>
        <w:t>10</w:t>
      </w:r>
      <w:r>
        <w:rPr>
          <w:rFonts w:ascii="Times New Roman" w:hint="eastAsia"/>
        </w:rPr>
        <w:t>个，应至少测定一个平行样，两次平行样滴定结果的相对误差的绝对值不超过</w:t>
      </w:r>
      <w:r>
        <w:rPr>
          <w:rFonts w:ascii="Times New Roman" w:hint="eastAsia"/>
        </w:rPr>
        <w:t>2%</w:t>
      </w:r>
      <w:r>
        <w:rPr>
          <w:rFonts w:ascii="Times New Roman" w:hint="eastAsia"/>
        </w:rPr>
        <w:t>，如果平行测定不符合要求，继续做平行测定，直至满足要求为止。</w:t>
      </w:r>
    </w:p>
    <w:p w14:paraId="3DD9A0C8" w14:textId="77777777" w:rsidR="00E650CE" w:rsidRDefault="004938CB">
      <w:pPr>
        <w:pStyle w:val="af"/>
        <w:widowControl w:val="0"/>
        <w:numPr>
          <w:ilvl w:val="1"/>
          <w:numId w:val="2"/>
        </w:numPr>
        <w:ind w:firstLineChars="0"/>
        <w:jc w:val="both"/>
        <w:rPr>
          <w:rFonts w:ascii="Times New Roman" w:hAnsi="Times New Roman" w:cs="Times New Roman"/>
        </w:rPr>
      </w:pPr>
      <w:r>
        <w:rPr>
          <w:rFonts w:ascii="Times New Roman" w:hAnsi="Times New Roman" w:cs="Times New Roman" w:hint="eastAsia"/>
        </w:rPr>
        <w:t>定量</w:t>
      </w:r>
      <w:r>
        <w:rPr>
          <w:rFonts w:ascii="Times New Roman" w:hAnsi="Times New Roman" w:cs="Times New Roman"/>
        </w:rPr>
        <w:t>限试验</w:t>
      </w:r>
    </w:p>
    <w:p w14:paraId="60F9FBC9" w14:textId="77777777" w:rsidR="00E650CE" w:rsidRDefault="004938CB">
      <w:pPr>
        <w:pStyle w:val="1"/>
        <w:autoSpaceDE w:val="0"/>
        <w:autoSpaceDN w:val="0"/>
        <w:spacing w:line="360" w:lineRule="auto"/>
        <w:textAlignment w:val="center"/>
      </w:pPr>
      <w:r>
        <w:rPr>
          <w:rFonts w:hint="eastAsia"/>
        </w:rPr>
        <w:t>配制</w:t>
      </w:r>
      <w:r>
        <w:rPr>
          <w:rFonts w:hint="eastAsia"/>
        </w:rPr>
        <w:t>0.00521g/L</w:t>
      </w:r>
      <w:r>
        <w:rPr>
          <w:rFonts w:hint="eastAsia"/>
        </w:rPr>
        <w:t>、</w:t>
      </w:r>
      <w:r>
        <w:rPr>
          <w:rFonts w:hint="eastAsia"/>
        </w:rPr>
        <w:t>0.01031g/L</w:t>
      </w:r>
      <w:r>
        <w:rPr>
          <w:rFonts w:hint="eastAsia"/>
        </w:rPr>
        <w:t>、</w:t>
      </w:r>
      <w:r>
        <w:rPr>
          <w:rFonts w:hint="eastAsia"/>
        </w:rPr>
        <w:t>0.01511g/L</w:t>
      </w:r>
      <w:r>
        <w:rPr>
          <w:rFonts w:hint="eastAsia"/>
        </w:rPr>
        <w:t>、</w:t>
      </w:r>
      <w:r>
        <w:rPr>
          <w:rFonts w:hint="eastAsia"/>
        </w:rPr>
        <w:t xml:space="preserve">0.0201g/L </w:t>
      </w:r>
      <w:r>
        <w:rPr>
          <w:rFonts w:hint="eastAsia"/>
        </w:rPr>
        <w:t>硼酸标准溶液，由于样品浓度较低，采用</w:t>
      </w:r>
      <w:r>
        <w:rPr>
          <w:rFonts w:hint="eastAsia"/>
        </w:rPr>
        <w:t xml:space="preserve">0.00995mol/L </w:t>
      </w:r>
      <w:r>
        <w:rPr>
          <w:rFonts w:hint="eastAsia"/>
        </w:rPr>
        <w:t>氢氧化钠溶液进行滴定，查看滴定准确度</w:t>
      </w:r>
      <w:r>
        <w:t>。</w:t>
      </w:r>
      <w:r>
        <w:rPr>
          <w:rFonts w:hint="eastAsia"/>
        </w:rPr>
        <w:t>分别移取</w:t>
      </w:r>
      <w:r>
        <w:rPr>
          <w:rFonts w:hint="eastAsia"/>
        </w:rPr>
        <w:t>50ml</w:t>
      </w:r>
      <w:r>
        <w:rPr>
          <w:rFonts w:hint="eastAsia"/>
        </w:rPr>
        <w:t>、</w:t>
      </w:r>
      <w:r>
        <w:rPr>
          <w:rFonts w:hint="eastAsia"/>
        </w:rPr>
        <w:t>50ml</w:t>
      </w:r>
      <w:r>
        <w:rPr>
          <w:rFonts w:hint="eastAsia"/>
        </w:rPr>
        <w:t>、</w:t>
      </w:r>
      <w:r>
        <w:rPr>
          <w:rFonts w:hint="eastAsia"/>
        </w:rPr>
        <w:t>10ml</w:t>
      </w:r>
      <w:r>
        <w:rPr>
          <w:rFonts w:hint="eastAsia"/>
        </w:rPr>
        <w:t>、</w:t>
      </w:r>
      <w:r>
        <w:rPr>
          <w:rFonts w:hint="eastAsia"/>
        </w:rPr>
        <w:t>10ml</w:t>
      </w:r>
      <w:r>
        <w:rPr>
          <w:rFonts w:hint="eastAsia"/>
        </w:rPr>
        <w:t>至</w:t>
      </w:r>
      <w:r>
        <w:rPr>
          <w:rFonts w:hint="eastAsia"/>
        </w:rPr>
        <w:t>200ml</w:t>
      </w:r>
      <w:r>
        <w:rPr>
          <w:rFonts w:hint="eastAsia"/>
        </w:rPr>
        <w:t>烧杯中，加入</w:t>
      </w:r>
      <w:r>
        <w:rPr>
          <w:rFonts w:hint="eastAsia"/>
        </w:rPr>
        <w:t>1g</w:t>
      </w:r>
      <w:r>
        <w:rPr>
          <w:rFonts w:hint="eastAsia"/>
        </w:rPr>
        <w:t>甘露醇后进行滴定，所得滴定结果如下表所示</w:t>
      </w:r>
      <w:r>
        <w:rPr>
          <w:rFonts w:hint="eastAsia"/>
        </w:rPr>
        <w:t>:</w:t>
      </w:r>
    </w:p>
    <w:tbl>
      <w:tblPr>
        <w:tblStyle w:val="ad"/>
        <w:tblW w:w="0" w:type="auto"/>
        <w:jc w:val="center"/>
        <w:tblLook w:val="04A0" w:firstRow="1" w:lastRow="0" w:firstColumn="1" w:lastColumn="0" w:noHBand="0" w:noVBand="1"/>
      </w:tblPr>
      <w:tblGrid>
        <w:gridCol w:w="2074"/>
        <w:gridCol w:w="2074"/>
        <w:gridCol w:w="2074"/>
        <w:gridCol w:w="2074"/>
      </w:tblGrid>
      <w:tr w:rsidR="00E650CE" w14:paraId="43F78ADE" w14:textId="77777777">
        <w:trPr>
          <w:jc w:val="center"/>
        </w:trPr>
        <w:tc>
          <w:tcPr>
            <w:tcW w:w="2074" w:type="dxa"/>
            <w:vAlign w:val="center"/>
          </w:tcPr>
          <w:p w14:paraId="713D33C5"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硼酸</w:t>
            </w:r>
            <w:r>
              <w:rPr>
                <w:rFonts w:ascii="Times New Roman" w:hAnsi="Times New Roman" w:cs="Times New Roman"/>
                <w:sz w:val="22"/>
                <w:szCs w:val="22"/>
              </w:rPr>
              <w:t>样品浓度，</w:t>
            </w:r>
            <w:r>
              <w:rPr>
                <w:rFonts w:ascii="Times New Roman" w:hAnsi="Times New Roman" w:cs="Times New Roman" w:hint="eastAsia"/>
                <w:sz w:val="22"/>
                <w:szCs w:val="22"/>
              </w:rPr>
              <w:t>g/L</w:t>
            </w:r>
          </w:p>
        </w:tc>
        <w:tc>
          <w:tcPr>
            <w:tcW w:w="2074" w:type="dxa"/>
            <w:vAlign w:val="center"/>
          </w:tcPr>
          <w:p w14:paraId="53F80008"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sz w:val="22"/>
                <w:szCs w:val="22"/>
              </w:rPr>
              <w:t>测量结果，</w:t>
            </w:r>
            <w:r>
              <w:rPr>
                <w:rFonts w:ascii="Times New Roman" w:hAnsi="Times New Roman" w:cs="Times New Roman" w:hint="eastAsia"/>
                <w:sz w:val="22"/>
                <w:szCs w:val="22"/>
              </w:rPr>
              <w:t>g/L</w:t>
            </w:r>
          </w:p>
        </w:tc>
        <w:tc>
          <w:tcPr>
            <w:tcW w:w="2074" w:type="dxa"/>
            <w:vAlign w:val="center"/>
          </w:tcPr>
          <w:p w14:paraId="6C26094C"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相对</w:t>
            </w:r>
            <w:r>
              <w:rPr>
                <w:rFonts w:ascii="Times New Roman" w:hAnsi="Times New Roman" w:cs="Times New Roman"/>
                <w:sz w:val="22"/>
                <w:szCs w:val="22"/>
              </w:rPr>
              <w:t>标准偏差</w:t>
            </w:r>
            <w:r>
              <w:rPr>
                <w:rFonts w:ascii="Times New Roman" w:hAnsi="Times New Roman" w:cs="Times New Roman"/>
                <w:sz w:val="18"/>
                <w:szCs w:val="22"/>
                <w:vertAlign w:val="superscript"/>
              </w:rPr>
              <w:sym w:font="Wingdings 2" w:char="F0E1"/>
            </w:r>
          </w:p>
        </w:tc>
        <w:tc>
          <w:tcPr>
            <w:tcW w:w="2074" w:type="dxa"/>
            <w:vAlign w:val="center"/>
          </w:tcPr>
          <w:p w14:paraId="0A3F9303"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误差</w:t>
            </w:r>
            <w:r>
              <w:rPr>
                <w:rFonts w:ascii="Times New Roman" w:hAnsi="Times New Roman" w:cs="Times New Roman"/>
                <w:sz w:val="22"/>
                <w:szCs w:val="22"/>
              </w:rPr>
              <w:t>，</w:t>
            </w:r>
            <w:r>
              <w:rPr>
                <w:rFonts w:ascii="Times New Roman" w:hAnsi="Times New Roman" w:cs="Times New Roman"/>
                <w:sz w:val="22"/>
                <w:szCs w:val="22"/>
              </w:rPr>
              <w:t>%</w:t>
            </w:r>
          </w:p>
        </w:tc>
      </w:tr>
      <w:tr w:rsidR="00E650CE" w14:paraId="70AD179C" w14:textId="77777777">
        <w:trPr>
          <w:trHeight w:val="90"/>
          <w:jc w:val="center"/>
        </w:trPr>
        <w:tc>
          <w:tcPr>
            <w:tcW w:w="2074" w:type="dxa"/>
            <w:vAlign w:val="center"/>
          </w:tcPr>
          <w:p w14:paraId="0A974A02"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0.005</w:t>
            </w:r>
          </w:p>
        </w:tc>
        <w:tc>
          <w:tcPr>
            <w:tcW w:w="2074" w:type="dxa"/>
            <w:vAlign w:val="center"/>
          </w:tcPr>
          <w:p w14:paraId="68FEDCA8"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0.0091</w:t>
            </w:r>
          </w:p>
        </w:tc>
        <w:tc>
          <w:tcPr>
            <w:tcW w:w="2074" w:type="dxa"/>
            <w:vAlign w:val="center"/>
          </w:tcPr>
          <w:p w14:paraId="14640023"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28.32%</w:t>
            </w:r>
          </w:p>
        </w:tc>
        <w:tc>
          <w:tcPr>
            <w:tcW w:w="2074" w:type="dxa"/>
            <w:vAlign w:val="center"/>
          </w:tcPr>
          <w:p w14:paraId="5B65EFCB"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+82</w:t>
            </w:r>
          </w:p>
        </w:tc>
      </w:tr>
      <w:tr w:rsidR="00E650CE" w14:paraId="6DB8CA4A" w14:textId="77777777">
        <w:trPr>
          <w:jc w:val="center"/>
        </w:trPr>
        <w:tc>
          <w:tcPr>
            <w:tcW w:w="2074" w:type="dxa"/>
            <w:vAlign w:val="center"/>
          </w:tcPr>
          <w:p w14:paraId="3B6FA5D9"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0.01</w:t>
            </w:r>
          </w:p>
        </w:tc>
        <w:tc>
          <w:tcPr>
            <w:tcW w:w="2074" w:type="dxa"/>
            <w:vAlign w:val="center"/>
          </w:tcPr>
          <w:p w14:paraId="453A3825"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0.0121</w:t>
            </w:r>
          </w:p>
        </w:tc>
        <w:tc>
          <w:tcPr>
            <w:tcW w:w="2074" w:type="dxa"/>
            <w:vAlign w:val="center"/>
          </w:tcPr>
          <w:p w14:paraId="6588B3C3"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15.46%</w:t>
            </w:r>
          </w:p>
        </w:tc>
        <w:tc>
          <w:tcPr>
            <w:tcW w:w="2074" w:type="dxa"/>
            <w:vAlign w:val="center"/>
          </w:tcPr>
          <w:p w14:paraId="48653541"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+21</w:t>
            </w:r>
          </w:p>
        </w:tc>
      </w:tr>
      <w:tr w:rsidR="00E650CE" w14:paraId="53167348" w14:textId="77777777">
        <w:trPr>
          <w:jc w:val="center"/>
        </w:trPr>
        <w:tc>
          <w:tcPr>
            <w:tcW w:w="2074" w:type="dxa"/>
            <w:vAlign w:val="center"/>
          </w:tcPr>
          <w:p w14:paraId="65356441"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0.015</w:t>
            </w:r>
          </w:p>
        </w:tc>
        <w:tc>
          <w:tcPr>
            <w:tcW w:w="2074" w:type="dxa"/>
            <w:vAlign w:val="center"/>
          </w:tcPr>
          <w:p w14:paraId="4C53F6B1"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0.0142</w:t>
            </w:r>
          </w:p>
        </w:tc>
        <w:tc>
          <w:tcPr>
            <w:tcW w:w="2074" w:type="dxa"/>
            <w:vAlign w:val="center"/>
          </w:tcPr>
          <w:p w14:paraId="4C2BBF6A"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8.32%</w:t>
            </w:r>
          </w:p>
        </w:tc>
        <w:tc>
          <w:tcPr>
            <w:tcW w:w="2074" w:type="dxa"/>
            <w:vAlign w:val="center"/>
          </w:tcPr>
          <w:p w14:paraId="455B1A8D"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-5.33</w:t>
            </w:r>
          </w:p>
        </w:tc>
      </w:tr>
      <w:tr w:rsidR="00E650CE" w14:paraId="6B3E5E0D" w14:textId="77777777">
        <w:trPr>
          <w:jc w:val="center"/>
        </w:trPr>
        <w:tc>
          <w:tcPr>
            <w:tcW w:w="2074" w:type="dxa"/>
            <w:vAlign w:val="center"/>
          </w:tcPr>
          <w:p w14:paraId="1F5165C1"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0.02</w:t>
            </w:r>
          </w:p>
        </w:tc>
        <w:tc>
          <w:tcPr>
            <w:tcW w:w="2074" w:type="dxa"/>
            <w:vAlign w:val="center"/>
          </w:tcPr>
          <w:p w14:paraId="10B9535D"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0.0204</w:t>
            </w:r>
          </w:p>
        </w:tc>
        <w:tc>
          <w:tcPr>
            <w:tcW w:w="2074" w:type="dxa"/>
            <w:vAlign w:val="center"/>
          </w:tcPr>
          <w:p w14:paraId="30BFDDBE"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5.87%</w:t>
            </w:r>
          </w:p>
        </w:tc>
        <w:tc>
          <w:tcPr>
            <w:tcW w:w="2074" w:type="dxa"/>
            <w:vAlign w:val="center"/>
          </w:tcPr>
          <w:p w14:paraId="4BAA9C63" w14:textId="77777777" w:rsidR="00E650CE" w:rsidRDefault="004938CB">
            <w:pPr>
              <w:pStyle w:val="af"/>
              <w:ind w:firstLineChars="0" w:firstLine="0"/>
              <w:jc w:val="center"/>
              <w:rPr>
                <w:rFonts w:ascii="Times New Roman" w:hAnsi="Times New Roman" w:cs="Times New Roman"/>
                <w:sz w:val="22"/>
                <w:szCs w:val="22"/>
              </w:rPr>
            </w:pPr>
            <w:r>
              <w:rPr>
                <w:rFonts w:ascii="Times New Roman" w:hAnsi="Times New Roman" w:cs="Times New Roman" w:hint="eastAsia"/>
                <w:sz w:val="22"/>
                <w:szCs w:val="22"/>
              </w:rPr>
              <w:t>+2.00</w:t>
            </w:r>
          </w:p>
        </w:tc>
      </w:tr>
    </w:tbl>
    <w:p w14:paraId="52AAFBA1" w14:textId="77777777" w:rsidR="00E650CE" w:rsidRDefault="004938CB">
      <w:pPr>
        <w:pStyle w:val="1"/>
        <w:autoSpaceDE w:val="0"/>
        <w:autoSpaceDN w:val="0"/>
        <w:spacing w:line="360" w:lineRule="auto"/>
        <w:ind w:firstLineChars="0" w:firstLine="0"/>
        <w:textAlignment w:val="center"/>
        <w:rPr>
          <w:sz w:val="20"/>
        </w:rPr>
      </w:pPr>
      <w:r>
        <w:rPr>
          <w:sz w:val="16"/>
        </w:rPr>
        <w:sym w:font="Wingdings 2" w:char="F0E1"/>
      </w:r>
      <w:r>
        <w:rPr>
          <w:sz w:val="16"/>
          <w:vertAlign w:val="superscript"/>
        </w:rPr>
        <w:t xml:space="preserve"> </w:t>
      </w:r>
      <w:r>
        <w:rPr>
          <w:rFonts w:hint="eastAsia"/>
          <w:sz w:val="20"/>
        </w:rPr>
        <w:t>平行</w:t>
      </w:r>
      <w:r>
        <w:rPr>
          <w:sz w:val="20"/>
        </w:rPr>
        <w:t>测量三组数据</w:t>
      </w:r>
      <w:r>
        <w:rPr>
          <w:rFonts w:hint="eastAsia"/>
          <w:sz w:val="20"/>
        </w:rPr>
        <w:t>所得。</w:t>
      </w:r>
    </w:p>
    <w:p w14:paraId="04842057" w14:textId="77777777" w:rsidR="00E650CE" w:rsidRDefault="004938CB">
      <w:pPr>
        <w:pStyle w:val="1"/>
        <w:autoSpaceDE w:val="0"/>
        <w:autoSpaceDN w:val="0"/>
        <w:spacing w:line="360" w:lineRule="auto"/>
        <w:textAlignment w:val="center"/>
      </w:pPr>
      <w:r>
        <w:t>根据实验验证，该测量方法能满足</w:t>
      </w:r>
      <w:r>
        <w:rPr>
          <w:rFonts w:hint="eastAsia"/>
        </w:rPr>
        <w:t>0.015g/L</w:t>
      </w:r>
      <w:r>
        <w:rPr>
          <w:rFonts w:hint="eastAsia"/>
        </w:rPr>
        <w:t>硼酸</w:t>
      </w:r>
      <w:r>
        <w:t>的准确测量，误差范围为</w:t>
      </w:r>
      <w:r>
        <w:t>±10%</w:t>
      </w:r>
      <w:r>
        <w:t>以内，</w:t>
      </w:r>
      <w:r>
        <w:t>RSD</w:t>
      </w:r>
      <w:r>
        <w:t>＜</w:t>
      </w:r>
      <w:r>
        <w:t>10%</w:t>
      </w:r>
      <w:r>
        <w:t>。</w:t>
      </w:r>
    </w:p>
    <w:p w14:paraId="5BD95CB5" w14:textId="77777777" w:rsidR="00E650CE" w:rsidRDefault="00E650CE">
      <w:pPr>
        <w:pStyle w:val="af"/>
        <w:ind w:left="360" w:firstLine="480"/>
        <w:rPr>
          <w:rFonts w:ascii="Times New Roman" w:hAnsi="Times New Roman" w:cs="Times New Roman"/>
        </w:rPr>
      </w:pPr>
    </w:p>
    <w:p w14:paraId="3CC660F3" w14:textId="77777777" w:rsidR="00E650CE" w:rsidRDefault="004938CB">
      <w:pPr>
        <w:outlineLvl w:val="0"/>
        <w:rPr>
          <w:rFonts w:hint="eastAsia"/>
          <w:b/>
          <w:sz w:val="28"/>
          <w:szCs w:val="28"/>
        </w:rPr>
      </w:pPr>
      <w:r>
        <w:rPr>
          <w:rFonts w:hint="eastAsia"/>
          <w:b/>
          <w:sz w:val="28"/>
          <w:szCs w:val="28"/>
        </w:rPr>
        <w:t>四、标准中涉及专利的情况</w:t>
      </w:r>
    </w:p>
    <w:p w14:paraId="218211E9" w14:textId="77777777" w:rsidR="00E650CE" w:rsidRDefault="004938CB" w:rsidP="005B6905">
      <w:pPr>
        <w:ind w:firstLineChars="200" w:firstLine="480"/>
        <w:rPr>
          <w:rFonts w:hint="eastAsia"/>
        </w:rPr>
      </w:pPr>
      <w:r>
        <w:rPr>
          <w:rFonts w:hint="eastAsia"/>
        </w:rPr>
        <w:t>本标准不涉及专利问题。</w:t>
      </w:r>
    </w:p>
    <w:p w14:paraId="15F5E400" w14:textId="77777777" w:rsidR="00E650CE" w:rsidRDefault="00E650CE">
      <w:pPr>
        <w:rPr>
          <w:rFonts w:hint="eastAsia"/>
        </w:rPr>
      </w:pPr>
    </w:p>
    <w:p w14:paraId="15388B00" w14:textId="77777777" w:rsidR="00E650CE" w:rsidRDefault="004938CB">
      <w:pPr>
        <w:outlineLvl w:val="0"/>
        <w:rPr>
          <w:rFonts w:hint="eastAsia"/>
          <w:b/>
          <w:sz w:val="28"/>
          <w:szCs w:val="28"/>
        </w:rPr>
      </w:pPr>
      <w:r>
        <w:rPr>
          <w:rFonts w:hint="eastAsia"/>
          <w:b/>
          <w:sz w:val="28"/>
          <w:szCs w:val="28"/>
        </w:rPr>
        <w:t>五、预期达到的社会效益、对产业发展的作用等情况</w:t>
      </w:r>
    </w:p>
    <w:p w14:paraId="35393EEA" w14:textId="77777777" w:rsidR="00E650CE" w:rsidRDefault="004938CB" w:rsidP="005B6905">
      <w:pPr>
        <w:ind w:firstLineChars="200" w:firstLine="480"/>
        <w:rPr>
          <w:rFonts w:hint="eastAsia"/>
        </w:rPr>
      </w:pPr>
      <w:r>
        <w:rPr>
          <w:rFonts w:hint="eastAsia"/>
        </w:rPr>
        <w:t>通过本标准的制定，</w:t>
      </w:r>
      <w:r>
        <w:t>可以</w:t>
      </w:r>
      <w:r>
        <w:rPr>
          <w:rFonts w:hint="eastAsia"/>
        </w:rPr>
        <w:t>实现一回路冷却剂中</w:t>
      </w:r>
      <w:r w:rsidR="005B6905">
        <w:rPr>
          <w:rFonts w:hint="eastAsia"/>
        </w:rPr>
        <w:t>硼酸</w:t>
      </w:r>
      <w:r>
        <w:t>浓度的精准测定，为核电一回路</w:t>
      </w:r>
      <w:r>
        <w:rPr>
          <w:rFonts w:hint="eastAsia"/>
        </w:rPr>
        <w:t>阴离子的测量</w:t>
      </w:r>
      <w:r>
        <w:t>提供</w:t>
      </w:r>
      <w:r>
        <w:rPr>
          <w:rFonts w:hint="eastAsia"/>
        </w:rPr>
        <w:t>重要</w:t>
      </w:r>
      <w:r>
        <w:t>技术</w:t>
      </w:r>
      <w:r>
        <w:rPr>
          <w:rFonts w:hint="eastAsia"/>
        </w:rPr>
        <w:t>保证。</w:t>
      </w:r>
    </w:p>
    <w:p w14:paraId="702F6E85" w14:textId="77777777" w:rsidR="00E650CE" w:rsidRDefault="00E650CE">
      <w:pPr>
        <w:rPr>
          <w:rFonts w:hint="eastAsia"/>
        </w:rPr>
      </w:pPr>
    </w:p>
    <w:p w14:paraId="66AFEA83" w14:textId="77777777" w:rsidR="00E650CE" w:rsidRDefault="004938CB">
      <w:pPr>
        <w:outlineLvl w:val="0"/>
        <w:rPr>
          <w:rFonts w:hint="eastAsia"/>
          <w:b/>
          <w:sz w:val="28"/>
          <w:szCs w:val="28"/>
        </w:rPr>
      </w:pPr>
      <w:r>
        <w:rPr>
          <w:rFonts w:hint="eastAsia"/>
          <w:b/>
          <w:sz w:val="28"/>
          <w:szCs w:val="28"/>
        </w:rPr>
        <w:lastRenderedPageBreak/>
        <w:t>六、与国际、国外对比情况</w:t>
      </w:r>
    </w:p>
    <w:p w14:paraId="05C489B9" w14:textId="77777777" w:rsidR="00E650CE" w:rsidRDefault="004938CB" w:rsidP="005B6905">
      <w:pPr>
        <w:ind w:firstLineChars="200" w:firstLine="480"/>
        <w:rPr>
          <w:rFonts w:hint="eastAsia"/>
        </w:rPr>
      </w:pPr>
      <w:r>
        <w:rPr>
          <w:rFonts w:hint="eastAsia"/>
        </w:rPr>
        <w:t>国外核电已有使用</w:t>
      </w:r>
      <w:r w:rsidRPr="005B6905">
        <w:rPr>
          <w:rFonts w:hint="eastAsia"/>
        </w:rPr>
        <w:t>电位滴定法测定一回路冷却水中硼酸含量</w:t>
      </w:r>
      <w:r>
        <w:rPr>
          <w:rFonts w:hint="eastAsia"/>
        </w:rPr>
        <w:t>的应用，但未形成相关的标准。</w:t>
      </w:r>
    </w:p>
    <w:p w14:paraId="5FE4216C" w14:textId="77777777" w:rsidR="00E650CE" w:rsidRDefault="00E650CE">
      <w:pPr>
        <w:rPr>
          <w:rFonts w:hint="eastAsia"/>
        </w:rPr>
      </w:pPr>
    </w:p>
    <w:p w14:paraId="4DE3144F" w14:textId="77777777" w:rsidR="00E650CE" w:rsidRDefault="004938CB">
      <w:pPr>
        <w:outlineLvl w:val="0"/>
        <w:rPr>
          <w:rFonts w:hint="eastAsia"/>
          <w:b/>
          <w:sz w:val="28"/>
          <w:szCs w:val="28"/>
        </w:rPr>
      </w:pPr>
      <w:r>
        <w:rPr>
          <w:rFonts w:hint="eastAsia"/>
          <w:b/>
          <w:sz w:val="28"/>
          <w:szCs w:val="28"/>
        </w:rPr>
        <w:t>七、在标准体系中的位置，与现行相关法律、法规、规章及标准，特别是强制性标准的协调性</w:t>
      </w:r>
    </w:p>
    <w:p w14:paraId="1B8F0001" w14:textId="77777777" w:rsidR="00E650CE" w:rsidRDefault="004938CB" w:rsidP="005B6905">
      <w:pPr>
        <w:ind w:firstLineChars="200" w:firstLine="480"/>
        <w:rPr>
          <w:rFonts w:hint="eastAsia"/>
        </w:rPr>
      </w:pPr>
      <w:r>
        <w:rPr>
          <w:rFonts w:hint="eastAsia"/>
        </w:rPr>
        <w:t>本标准与现行相关法律、法规、规章及相关标准协调一致。</w:t>
      </w:r>
    </w:p>
    <w:p w14:paraId="57FFF004" w14:textId="77777777" w:rsidR="00E650CE" w:rsidRDefault="004938CB">
      <w:pPr>
        <w:outlineLvl w:val="0"/>
        <w:rPr>
          <w:rFonts w:hint="eastAsia"/>
          <w:b/>
          <w:sz w:val="28"/>
          <w:szCs w:val="28"/>
        </w:rPr>
      </w:pPr>
      <w:r>
        <w:rPr>
          <w:rFonts w:hint="eastAsia"/>
          <w:b/>
          <w:sz w:val="28"/>
          <w:szCs w:val="28"/>
        </w:rPr>
        <w:t>八、重大分歧意见的处理经过和依据</w:t>
      </w:r>
    </w:p>
    <w:p w14:paraId="10A7B880" w14:textId="77777777" w:rsidR="00E650CE" w:rsidRDefault="004938CB" w:rsidP="005B6905">
      <w:pPr>
        <w:ind w:firstLineChars="200" w:firstLine="480"/>
        <w:rPr>
          <w:rFonts w:hint="eastAsia"/>
        </w:rPr>
      </w:pPr>
      <w:r>
        <w:rPr>
          <w:rFonts w:hint="eastAsia"/>
        </w:rPr>
        <w:t>无。</w:t>
      </w:r>
    </w:p>
    <w:p w14:paraId="0D5DC152" w14:textId="77777777" w:rsidR="00E650CE" w:rsidRDefault="00E650CE">
      <w:pPr>
        <w:rPr>
          <w:rFonts w:hint="eastAsia"/>
        </w:rPr>
      </w:pPr>
    </w:p>
    <w:p w14:paraId="60CE30D1" w14:textId="77777777" w:rsidR="00E650CE" w:rsidRDefault="004938CB">
      <w:pPr>
        <w:outlineLvl w:val="0"/>
        <w:rPr>
          <w:rFonts w:hint="eastAsia"/>
          <w:b/>
          <w:sz w:val="28"/>
          <w:szCs w:val="28"/>
        </w:rPr>
      </w:pPr>
      <w:r>
        <w:rPr>
          <w:rFonts w:hint="eastAsia"/>
          <w:b/>
          <w:sz w:val="28"/>
          <w:szCs w:val="28"/>
        </w:rPr>
        <w:t>九、标准性质的建议说明</w:t>
      </w:r>
    </w:p>
    <w:p w14:paraId="6133AD72" w14:textId="77777777" w:rsidR="00E650CE" w:rsidRDefault="004938CB" w:rsidP="005B6905">
      <w:pPr>
        <w:ind w:firstLineChars="200" w:firstLine="480"/>
        <w:rPr>
          <w:rFonts w:hint="eastAsia"/>
        </w:rPr>
      </w:pPr>
      <w:r>
        <w:rPr>
          <w:rFonts w:hint="eastAsia"/>
        </w:rPr>
        <w:t>建议本标准的性质为团体标准。</w:t>
      </w:r>
    </w:p>
    <w:p w14:paraId="1691E15B" w14:textId="77777777" w:rsidR="00E650CE" w:rsidRDefault="00E650CE">
      <w:pPr>
        <w:rPr>
          <w:rFonts w:hint="eastAsia"/>
          <w:i/>
        </w:rPr>
      </w:pPr>
    </w:p>
    <w:p w14:paraId="757F2BF5" w14:textId="77777777" w:rsidR="00E650CE" w:rsidRDefault="004938CB">
      <w:pPr>
        <w:outlineLvl w:val="0"/>
        <w:rPr>
          <w:rFonts w:hint="eastAsia"/>
          <w:b/>
          <w:sz w:val="28"/>
          <w:szCs w:val="28"/>
        </w:rPr>
      </w:pPr>
      <w:r>
        <w:rPr>
          <w:rFonts w:hint="eastAsia"/>
          <w:b/>
          <w:sz w:val="28"/>
          <w:szCs w:val="28"/>
        </w:rPr>
        <w:t>十、贯彻标准的要求和措施建议</w:t>
      </w:r>
    </w:p>
    <w:p w14:paraId="2AC65648" w14:textId="77777777" w:rsidR="00E650CE" w:rsidRDefault="004938CB" w:rsidP="005B6905">
      <w:pPr>
        <w:ind w:firstLineChars="200" w:firstLine="480"/>
        <w:rPr>
          <w:rFonts w:hint="eastAsia"/>
        </w:rPr>
      </w:pPr>
      <w:r>
        <w:rPr>
          <w:rFonts w:hint="eastAsia"/>
        </w:rPr>
        <w:t>标准发布后，上海核工程研究设计院股份有限公司将配合中国核能行业协会组织行业召开标准宣贯会，开展培训活动，促进该标准更好的贯彻实施。</w:t>
      </w:r>
    </w:p>
    <w:p w14:paraId="15E8E0CD" w14:textId="77777777" w:rsidR="00E650CE" w:rsidRDefault="00E650CE">
      <w:pPr>
        <w:rPr>
          <w:rFonts w:hint="eastAsia"/>
          <w:i/>
        </w:rPr>
      </w:pPr>
    </w:p>
    <w:p w14:paraId="2204C761" w14:textId="77777777" w:rsidR="00E650CE" w:rsidRDefault="004938CB">
      <w:pPr>
        <w:outlineLvl w:val="0"/>
        <w:rPr>
          <w:rFonts w:hint="eastAsia"/>
          <w:b/>
          <w:sz w:val="28"/>
          <w:szCs w:val="28"/>
        </w:rPr>
      </w:pPr>
      <w:r>
        <w:rPr>
          <w:rFonts w:hint="eastAsia"/>
          <w:b/>
          <w:sz w:val="28"/>
          <w:szCs w:val="28"/>
        </w:rPr>
        <w:t>十一、废止现行相关标准的建议</w:t>
      </w:r>
    </w:p>
    <w:p w14:paraId="2C61A2D7" w14:textId="77777777" w:rsidR="00E650CE" w:rsidRDefault="004938CB">
      <w:pPr>
        <w:rPr>
          <w:rFonts w:hint="eastAsia"/>
        </w:rPr>
      </w:pPr>
      <w:r>
        <w:rPr>
          <w:rFonts w:hint="eastAsia"/>
        </w:rPr>
        <w:t>无</w:t>
      </w:r>
      <w:r>
        <w:t>。</w:t>
      </w:r>
    </w:p>
    <w:p w14:paraId="38B0DA56" w14:textId="77777777" w:rsidR="00E650CE" w:rsidRDefault="004938CB">
      <w:pPr>
        <w:outlineLvl w:val="0"/>
        <w:rPr>
          <w:rFonts w:hint="eastAsia"/>
          <w:b/>
          <w:sz w:val="28"/>
          <w:szCs w:val="28"/>
        </w:rPr>
      </w:pPr>
      <w:r>
        <w:rPr>
          <w:rFonts w:hint="eastAsia"/>
          <w:b/>
          <w:sz w:val="28"/>
          <w:szCs w:val="28"/>
        </w:rPr>
        <w:t>十二、其他应予说明的事项</w:t>
      </w:r>
    </w:p>
    <w:p w14:paraId="73B4F2FA" w14:textId="77777777" w:rsidR="00E650CE" w:rsidRDefault="004938CB">
      <w:pPr>
        <w:rPr>
          <w:rFonts w:hint="eastAsia"/>
        </w:rPr>
      </w:pPr>
      <w:r>
        <w:rPr>
          <w:rFonts w:hint="eastAsia"/>
        </w:rPr>
        <w:t>无</w:t>
      </w:r>
      <w:r>
        <w:t>。</w:t>
      </w:r>
    </w:p>
    <w:sectPr w:rsidR="00E650CE" w:rsidSect="00E650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2954E" w14:textId="77777777" w:rsidR="009C7FD6" w:rsidRDefault="009C7FD6">
      <w:pPr>
        <w:spacing w:line="240" w:lineRule="auto"/>
        <w:rPr>
          <w:rFonts w:hint="eastAsia"/>
        </w:rPr>
      </w:pPr>
      <w:r>
        <w:separator/>
      </w:r>
    </w:p>
  </w:endnote>
  <w:endnote w:type="continuationSeparator" w:id="0">
    <w:p w14:paraId="24616CE2" w14:textId="77777777" w:rsidR="009C7FD6" w:rsidRDefault="009C7FD6">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Regular">
    <w:altName w:val="Times New Roman"/>
    <w:charset w:val="00"/>
    <w:family w:val="auto"/>
    <w:pitch w:val="default"/>
    <w:sig w:usb0="00000000" w:usb1="C0007841" w:usb2="00000009" w:usb3="00000000" w:csb0="400001FF" w:csb1="FFFF0000"/>
  </w:font>
  <w:font w:name="方正舒体">
    <w:panose1 w:val="02010601030101010101"/>
    <w:charset w:val="86"/>
    <w:family w:val="auto"/>
    <w:pitch w:val="variable"/>
    <w:sig w:usb0="00000003"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492B3" w14:textId="77777777" w:rsidR="009C7FD6" w:rsidRDefault="009C7FD6">
      <w:pPr>
        <w:rPr>
          <w:rFonts w:hint="eastAsia"/>
        </w:rPr>
      </w:pPr>
      <w:r>
        <w:separator/>
      </w:r>
    </w:p>
  </w:footnote>
  <w:footnote w:type="continuationSeparator" w:id="0">
    <w:p w14:paraId="4034F70E" w14:textId="77777777" w:rsidR="009C7FD6" w:rsidRDefault="009C7FD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00ED1"/>
    <w:multiLevelType w:val="multilevel"/>
    <w:tmpl w:val="14900ED1"/>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54B03A0E"/>
    <w:multiLevelType w:val="multilevel"/>
    <w:tmpl w:val="54B03A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6331107">
    <w:abstractNumId w:val="0"/>
  </w:num>
  <w:num w:numId="2" w16cid:durableId="1582729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9575D"/>
    <w:rsid w:val="000A757F"/>
    <w:rsid w:val="000C204E"/>
    <w:rsid w:val="000C6813"/>
    <w:rsid w:val="000F3A0C"/>
    <w:rsid w:val="00132C00"/>
    <w:rsid w:val="00161CD2"/>
    <w:rsid w:val="00177EF7"/>
    <w:rsid w:val="001D5B54"/>
    <w:rsid w:val="001E11E1"/>
    <w:rsid w:val="0024244C"/>
    <w:rsid w:val="00266AED"/>
    <w:rsid w:val="002806E2"/>
    <w:rsid w:val="00285F39"/>
    <w:rsid w:val="00286459"/>
    <w:rsid w:val="002E1F35"/>
    <w:rsid w:val="002E2066"/>
    <w:rsid w:val="00330B02"/>
    <w:rsid w:val="00353BBB"/>
    <w:rsid w:val="00373381"/>
    <w:rsid w:val="00385413"/>
    <w:rsid w:val="00426A7A"/>
    <w:rsid w:val="00454B08"/>
    <w:rsid w:val="004656F6"/>
    <w:rsid w:val="004938CB"/>
    <w:rsid w:val="004B211F"/>
    <w:rsid w:val="004E34A3"/>
    <w:rsid w:val="004E4869"/>
    <w:rsid w:val="00520FE0"/>
    <w:rsid w:val="00555159"/>
    <w:rsid w:val="005B6905"/>
    <w:rsid w:val="005C3C1B"/>
    <w:rsid w:val="005E4680"/>
    <w:rsid w:val="005F4C12"/>
    <w:rsid w:val="006010E2"/>
    <w:rsid w:val="0063022D"/>
    <w:rsid w:val="006633BA"/>
    <w:rsid w:val="00681439"/>
    <w:rsid w:val="006A6B56"/>
    <w:rsid w:val="006E0F94"/>
    <w:rsid w:val="006F120A"/>
    <w:rsid w:val="0070047E"/>
    <w:rsid w:val="0070467E"/>
    <w:rsid w:val="00722E62"/>
    <w:rsid w:val="00764E9E"/>
    <w:rsid w:val="007715B3"/>
    <w:rsid w:val="007C2A65"/>
    <w:rsid w:val="0080172E"/>
    <w:rsid w:val="008438B1"/>
    <w:rsid w:val="00890BA5"/>
    <w:rsid w:val="008F0708"/>
    <w:rsid w:val="00915C3B"/>
    <w:rsid w:val="00942C29"/>
    <w:rsid w:val="00943129"/>
    <w:rsid w:val="009556F0"/>
    <w:rsid w:val="009A1B06"/>
    <w:rsid w:val="009B25A4"/>
    <w:rsid w:val="009C15CD"/>
    <w:rsid w:val="009C4354"/>
    <w:rsid w:val="009C7FD6"/>
    <w:rsid w:val="009E5D4F"/>
    <w:rsid w:val="00A33BF8"/>
    <w:rsid w:val="00A56356"/>
    <w:rsid w:val="00A740E0"/>
    <w:rsid w:val="00AB5F92"/>
    <w:rsid w:val="00AC1E52"/>
    <w:rsid w:val="00AE1F12"/>
    <w:rsid w:val="00AE3DCA"/>
    <w:rsid w:val="00AE5D51"/>
    <w:rsid w:val="00AF2433"/>
    <w:rsid w:val="00B24A56"/>
    <w:rsid w:val="00B43382"/>
    <w:rsid w:val="00B56B85"/>
    <w:rsid w:val="00B97B46"/>
    <w:rsid w:val="00BD71B7"/>
    <w:rsid w:val="00C402D7"/>
    <w:rsid w:val="00C478E3"/>
    <w:rsid w:val="00C72270"/>
    <w:rsid w:val="00C724BE"/>
    <w:rsid w:val="00C879C9"/>
    <w:rsid w:val="00C94C2E"/>
    <w:rsid w:val="00CB603C"/>
    <w:rsid w:val="00CD621F"/>
    <w:rsid w:val="00CF3C85"/>
    <w:rsid w:val="00D12AF0"/>
    <w:rsid w:val="00D40BF9"/>
    <w:rsid w:val="00DB22F0"/>
    <w:rsid w:val="00DC29B1"/>
    <w:rsid w:val="00DC5C43"/>
    <w:rsid w:val="00DD1506"/>
    <w:rsid w:val="00E0783F"/>
    <w:rsid w:val="00E5631A"/>
    <w:rsid w:val="00E650CE"/>
    <w:rsid w:val="00EB7C73"/>
    <w:rsid w:val="00F60B7D"/>
    <w:rsid w:val="00F63143"/>
    <w:rsid w:val="00F818AA"/>
    <w:rsid w:val="00FB6407"/>
    <w:rsid w:val="00FD4527"/>
    <w:rsid w:val="1BFF5E68"/>
    <w:rsid w:val="292F77A9"/>
    <w:rsid w:val="3FD70513"/>
    <w:rsid w:val="5AF98171"/>
    <w:rsid w:val="5B652F53"/>
    <w:rsid w:val="7BBF0145"/>
    <w:rsid w:val="7DCF8C36"/>
    <w:rsid w:val="7F990565"/>
    <w:rsid w:val="8F6F835A"/>
    <w:rsid w:val="B7E728F4"/>
    <w:rsid w:val="DEF7B4EA"/>
    <w:rsid w:val="EBE751B6"/>
    <w:rsid w:val="FD5F31C5"/>
    <w:rsid w:val="FD751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E487843"/>
  <w15:docId w15:val="{07C50B86-6DF8-431D-9CAA-6FAE886C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50CE"/>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E650CE"/>
  </w:style>
  <w:style w:type="paragraph" w:styleId="a5">
    <w:name w:val="Balloon Text"/>
    <w:basedOn w:val="a"/>
    <w:link w:val="a6"/>
    <w:uiPriority w:val="99"/>
    <w:semiHidden/>
    <w:unhideWhenUsed/>
    <w:qFormat/>
    <w:rsid w:val="00E650CE"/>
    <w:pPr>
      <w:spacing w:line="240" w:lineRule="auto"/>
    </w:pPr>
    <w:rPr>
      <w:sz w:val="18"/>
      <w:szCs w:val="18"/>
    </w:rPr>
  </w:style>
  <w:style w:type="paragraph" w:styleId="a7">
    <w:name w:val="footer"/>
    <w:basedOn w:val="a"/>
    <w:link w:val="a8"/>
    <w:uiPriority w:val="99"/>
    <w:unhideWhenUsed/>
    <w:qFormat/>
    <w:rsid w:val="00E650CE"/>
    <w:pPr>
      <w:widowControl w:val="0"/>
      <w:tabs>
        <w:tab w:val="center" w:pos="4153"/>
        <w:tab w:val="right" w:pos="8306"/>
      </w:tabs>
      <w:snapToGrid w:val="0"/>
      <w:spacing w:line="240" w:lineRule="auto"/>
    </w:pPr>
    <w:rPr>
      <w:rFonts w:asciiTheme="minorHAnsi" w:eastAsiaTheme="minorEastAsia" w:hAnsiTheme="minorHAnsi"/>
      <w:sz w:val="18"/>
      <w:szCs w:val="18"/>
    </w:rPr>
  </w:style>
  <w:style w:type="paragraph" w:styleId="a9">
    <w:name w:val="header"/>
    <w:basedOn w:val="a"/>
    <w:link w:val="aa"/>
    <w:uiPriority w:val="99"/>
    <w:unhideWhenUsed/>
    <w:qFormat/>
    <w:rsid w:val="00E650CE"/>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sz w:val="18"/>
      <w:szCs w:val="18"/>
    </w:rPr>
  </w:style>
  <w:style w:type="paragraph" w:styleId="ab">
    <w:name w:val="annotation subject"/>
    <w:basedOn w:val="a3"/>
    <w:next w:val="a3"/>
    <w:link w:val="ac"/>
    <w:uiPriority w:val="99"/>
    <w:semiHidden/>
    <w:unhideWhenUsed/>
    <w:qFormat/>
    <w:rsid w:val="00E650CE"/>
    <w:rPr>
      <w:b/>
      <w:bCs/>
    </w:rPr>
  </w:style>
  <w:style w:type="table" w:styleId="ad">
    <w:name w:val="Table Grid"/>
    <w:basedOn w:val="a1"/>
    <w:uiPriority w:val="39"/>
    <w:qFormat/>
    <w:rsid w:val="00E650CE"/>
    <w:rPr>
      <w:rFonts w:asciiTheme="minorHAnsi" w:eastAsiaTheme="minorEastAsia" w:hAnsiTheme="minorHAns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sid w:val="00E650CE"/>
    <w:rPr>
      <w:sz w:val="21"/>
      <w:szCs w:val="21"/>
    </w:rPr>
  </w:style>
  <w:style w:type="paragraph" w:styleId="af">
    <w:name w:val="List Paragraph"/>
    <w:basedOn w:val="a"/>
    <w:uiPriority w:val="34"/>
    <w:qFormat/>
    <w:rsid w:val="00E650CE"/>
    <w:pPr>
      <w:ind w:firstLineChars="200" w:firstLine="420"/>
    </w:pPr>
  </w:style>
  <w:style w:type="paragraph" w:customStyle="1" w:styleId="1">
    <w:name w:val="列出段落1"/>
    <w:basedOn w:val="a"/>
    <w:link w:val="1Char"/>
    <w:qFormat/>
    <w:rsid w:val="00E650CE"/>
    <w:pPr>
      <w:widowControl w:val="0"/>
      <w:spacing w:line="240" w:lineRule="auto"/>
      <w:ind w:firstLineChars="200" w:firstLine="420"/>
      <w:jc w:val="both"/>
    </w:pPr>
    <w:rPr>
      <w:rFonts w:ascii="Times New Roman" w:hAnsi="Times New Roman" w:cs="Times New Roman"/>
      <w:sz w:val="21"/>
    </w:rPr>
  </w:style>
  <w:style w:type="character" w:customStyle="1" w:styleId="aa">
    <w:name w:val="页眉 字符"/>
    <w:basedOn w:val="a0"/>
    <w:link w:val="a9"/>
    <w:uiPriority w:val="99"/>
    <w:qFormat/>
    <w:rsid w:val="00E650CE"/>
    <w:rPr>
      <w:rFonts w:asciiTheme="minorHAnsi" w:eastAsiaTheme="minorEastAsia" w:hAnsiTheme="minorHAnsi"/>
      <w:sz w:val="18"/>
      <w:szCs w:val="18"/>
    </w:rPr>
  </w:style>
  <w:style w:type="character" w:customStyle="1" w:styleId="a8">
    <w:name w:val="页脚 字符"/>
    <w:basedOn w:val="a0"/>
    <w:link w:val="a7"/>
    <w:uiPriority w:val="99"/>
    <w:qFormat/>
    <w:rsid w:val="00E650CE"/>
    <w:rPr>
      <w:rFonts w:asciiTheme="minorHAnsi" w:eastAsiaTheme="minorEastAsia" w:hAnsiTheme="minorHAnsi"/>
      <w:sz w:val="18"/>
      <w:szCs w:val="18"/>
    </w:rPr>
  </w:style>
  <w:style w:type="paragraph" w:customStyle="1" w:styleId="11">
    <w:name w:val="列出段落11"/>
    <w:basedOn w:val="a"/>
    <w:qFormat/>
    <w:rsid w:val="00E650CE"/>
    <w:pPr>
      <w:widowControl w:val="0"/>
      <w:spacing w:line="240" w:lineRule="auto"/>
      <w:ind w:firstLineChars="200" w:firstLine="420"/>
      <w:jc w:val="both"/>
    </w:pPr>
    <w:rPr>
      <w:rFonts w:ascii="Times New Roman" w:hAnsi="Times New Roman" w:cs="Times New Roman"/>
      <w:sz w:val="21"/>
    </w:rPr>
  </w:style>
  <w:style w:type="character" w:customStyle="1" w:styleId="a4">
    <w:name w:val="批注文字 字符"/>
    <w:basedOn w:val="a0"/>
    <w:link w:val="a3"/>
    <w:uiPriority w:val="99"/>
    <w:semiHidden/>
    <w:qFormat/>
    <w:rsid w:val="00E650CE"/>
  </w:style>
  <w:style w:type="character" w:customStyle="1" w:styleId="ac">
    <w:name w:val="批注主题 字符"/>
    <w:basedOn w:val="a4"/>
    <w:link w:val="ab"/>
    <w:uiPriority w:val="99"/>
    <w:semiHidden/>
    <w:qFormat/>
    <w:rsid w:val="00E650CE"/>
    <w:rPr>
      <w:b/>
      <w:bCs/>
    </w:rPr>
  </w:style>
  <w:style w:type="character" w:customStyle="1" w:styleId="a6">
    <w:name w:val="批注框文本 字符"/>
    <w:basedOn w:val="a0"/>
    <w:link w:val="a5"/>
    <w:uiPriority w:val="99"/>
    <w:semiHidden/>
    <w:qFormat/>
    <w:rsid w:val="00E650CE"/>
    <w:rPr>
      <w:sz w:val="18"/>
      <w:szCs w:val="18"/>
    </w:rPr>
  </w:style>
  <w:style w:type="paragraph" w:customStyle="1" w:styleId="af0">
    <w:name w:val="段"/>
    <w:qFormat/>
    <w:rsid w:val="00E650CE"/>
    <w:pPr>
      <w:tabs>
        <w:tab w:val="center" w:pos="4201"/>
        <w:tab w:val="right" w:leader="dot" w:pos="9298"/>
      </w:tabs>
      <w:autoSpaceDE w:val="0"/>
      <w:autoSpaceDN w:val="0"/>
      <w:ind w:firstLineChars="200" w:firstLine="420"/>
      <w:jc w:val="both"/>
    </w:pPr>
    <w:rPr>
      <w:rFonts w:ascii="宋体"/>
      <w:sz w:val="21"/>
    </w:rPr>
  </w:style>
  <w:style w:type="character" w:customStyle="1" w:styleId="1Char">
    <w:name w:val="列出段落1 Char"/>
    <w:link w:val="1"/>
    <w:qFormat/>
    <w:rsid w:val="00E650CE"/>
    <w:rPr>
      <w:rFonts w:ascii="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898</Words>
  <Characters>5125</Characters>
  <Application>Microsoft Office Word</Application>
  <DocSecurity>0</DocSecurity>
  <Lines>42</Lines>
  <Paragraphs>12</Paragraphs>
  <ScaleCrop>false</ScaleCrop>
  <Company>Microsoft Corp.</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王永东 SNERDI</cp:lastModifiedBy>
  <cp:revision>2</cp:revision>
  <dcterms:created xsi:type="dcterms:W3CDTF">2026-05-27T02:25:00Z</dcterms:created>
  <dcterms:modified xsi:type="dcterms:W3CDTF">2026-05-27T02:25:00Z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AC7926293B26FB8A0B27E565C4C9DE29_42</vt:lpwstr>
  </property>
</Properties>
</file>